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tbl>
      <w:tblPr>
        <w:tblW w:w="0" w:type="auto"/>
        <w:jc w:val="center"/>
        <w:tblLook w:val="04A0" w:firstRow="1" w:lastRow="0" w:firstColumn="1" w:lastColumn="0" w:noHBand="0" w:noVBand="1"/>
      </w:tblPr>
      <w:tblGrid>
        <w:gridCol w:w="6899"/>
      </w:tblGrid>
      <w:tr w:rsidR="00D208D0" w:rsidRPr="00623E3F" w:rsidTr="00260007">
        <w:trPr>
          <w:trHeight w:val="535"/>
          <w:jc w:val="center"/>
        </w:trPr>
        <w:tc>
          <w:tcPr>
            <w:tcW w:w="6899" w:type="dxa"/>
            <w:shd w:val="clear" w:color="auto" w:fill="auto"/>
          </w:tcPr>
          <w:p w:rsidR="00D208D0" w:rsidRPr="00C17DE9" w:rsidRDefault="00D208D0" w:rsidP="00260007">
            <w:pPr>
              <w:spacing w:line="578" w:lineRule="exact"/>
              <w:jc w:val="distribute"/>
              <w:rPr>
                <w:rFonts w:eastAsia="方正小标宋_GBK" w:hint="eastAsia"/>
                <w:sz w:val="44"/>
                <w:szCs w:val="44"/>
              </w:rPr>
            </w:pPr>
            <w:bookmarkStart w:id="0" w:name="正文文件"/>
            <w:bookmarkEnd w:id="0"/>
            <w:r w:rsidRPr="00C17DE9">
              <w:rPr>
                <w:rFonts w:eastAsia="方正小标宋_GBK" w:hint="eastAsia"/>
                <w:sz w:val="44"/>
                <w:szCs w:val="44"/>
              </w:rPr>
              <w:t>重庆市财政局</w:t>
            </w:r>
          </w:p>
        </w:tc>
      </w:tr>
      <w:tr w:rsidR="00D208D0" w:rsidRPr="00623E3F" w:rsidTr="00260007">
        <w:trPr>
          <w:trHeight w:val="535"/>
          <w:jc w:val="center"/>
        </w:trPr>
        <w:tc>
          <w:tcPr>
            <w:tcW w:w="6899" w:type="dxa"/>
            <w:shd w:val="clear" w:color="auto" w:fill="auto"/>
          </w:tcPr>
          <w:p w:rsidR="00D208D0" w:rsidRPr="00C17DE9" w:rsidRDefault="00D208D0" w:rsidP="00260007">
            <w:pPr>
              <w:spacing w:line="578" w:lineRule="exact"/>
              <w:jc w:val="distribute"/>
              <w:rPr>
                <w:rFonts w:eastAsia="方正小标宋_GBK" w:hint="eastAsia"/>
                <w:sz w:val="44"/>
                <w:szCs w:val="44"/>
              </w:rPr>
            </w:pPr>
            <w:r w:rsidRPr="00C17DE9">
              <w:rPr>
                <w:rFonts w:eastAsia="方正小标宋_GBK" w:hint="eastAsia"/>
                <w:sz w:val="44"/>
                <w:szCs w:val="44"/>
              </w:rPr>
              <w:t>重庆市农业农村委员会</w:t>
            </w:r>
          </w:p>
        </w:tc>
      </w:tr>
      <w:tr w:rsidR="00D208D0" w:rsidRPr="00623E3F" w:rsidTr="00260007">
        <w:trPr>
          <w:trHeight w:val="535"/>
          <w:jc w:val="center"/>
        </w:trPr>
        <w:tc>
          <w:tcPr>
            <w:tcW w:w="6899" w:type="dxa"/>
            <w:shd w:val="clear" w:color="auto" w:fill="auto"/>
          </w:tcPr>
          <w:p w:rsidR="00D208D0" w:rsidRPr="00C17DE9" w:rsidRDefault="00D208D0" w:rsidP="00260007">
            <w:pPr>
              <w:spacing w:line="578" w:lineRule="exact"/>
              <w:jc w:val="distribute"/>
              <w:rPr>
                <w:rFonts w:eastAsia="方正小标宋_GBK" w:hint="eastAsia"/>
                <w:sz w:val="44"/>
                <w:szCs w:val="44"/>
              </w:rPr>
            </w:pPr>
            <w:r w:rsidRPr="00C17DE9">
              <w:rPr>
                <w:rFonts w:eastAsia="方正小标宋_GBK" w:hint="eastAsia"/>
                <w:sz w:val="44"/>
                <w:szCs w:val="44"/>
              </w:rPr>
              <w:t>国家金融监督管理总局重庆监管局</w:t>
            </w:r>
          </w:p>
        </w:tc>
      </w:tr>
    </w:tbl>
    <w:p w:rsidR="00D208D0" w:rsidRPr="00623E3F" w:rsidRDefault="00D208D0" w:rsidP="00D208D0">
      <w:pPr>
        <w:spacing w:line="578" w:lineRule="exact"/>
        <w:jc w:val="center"/>
        <w:rPr>
          <w:rFonts w:eastAsia="方正小标宋_GBK"/>
          <w:sz w:val="44"/>
          <w:szCs w:val="44"/>
        </w:rPr>
      </w:pPr>
      <w:r w:rsidRPr="00623E3F">
        <w:rPr>
          <w:rFonts w:eastAsia="方正小标宋_GBK" w:hint="eastAsia"/>
          <w:sz w:val="44"/>
          <w:szCs w:val="44"/>
        </w:rPr>
        <w:t>关于在全市全面实施三大粮食作物完全</w:t>
      </w:r>
    </w:p>
    <w:p w:rsidR="00D208D0" w:rsidRPr="00623E3F" w:rsidRDefault="00D208D0" w:rsidP="00D208D0">
      <w:pPr>
        <w:spacing w:line="578" w:lineRule="exact"/>
        <w:jc w:val="center"/>
        <w:rPr>
          <w:rFonts w:eastAsia="方正小标宋_GBK" w:hint="eastAsia"/>
          <w:sz w:val="44"/>
          <w:szCs w:val="44"/>
        </w:rPr>
      </w:pPr>
      <w:r w:rsidRPr="00623E3F">
        <w:rPr>
          <w:rFonts w:eastAsia="方正小标宋_GBK" w:hint="eastAsia"/>
          <w:sz w:val="44"/>
          <w:szCs w:val="44"/>
        </w:rPr>
        <w:t>成本保险和种植收入保险政策的通知</w:t>
      </w:r>
    </w:p>
    <w:p w:rsidR="00D208D0" w:rsidRPr="00623E3F" w:rsidRDefault="00D208D0" w:rsidP="00D208D0">
      <w:pPr>
        <w:spacing w:line="578" w:lineRule="exact"/>
        <w:jc w:val="center"/>
        <w:rPr>
          <w:rFonts w:hint="eastAsia"/>
        </w:rPr>
      </w:pPr>
      <w:bookmarkStart w:id="1" w:name="_GoBack"/>
      <w:r w:rsidRPr="00623E3F">
        <w:rPr>
          <w:rFonts w:hint="eastAsia"/>
        </w:rPr>
        <w:t>渝财金〔</w:t>
      </w:r>
      <w:r w:rsidRPr="00623E3F">
        <w:rPr>
          <w:rFonts w:hint="eastAsia"/>
        </w:rPr>
        <w:t>2024</w:t>
      </w:r>
      <w:r w:rsidRPr="00623E3F">
        <w:rPr>
          <w:rFonts w:hint="eastAsia"/>
        </w:rPr>
        <w:t>〕</w:t>
      </w:r>
      <w:r w:rsidRPr="00623E3F">
        <w:rPr>
          <w:rFonts w:hint="eastAsia"/>
        </w:rPr>
        <w:t>24</w:t>
      </w:r>
      <w:r w:rsidRPr="00623E3F">
        <w:rPr>
          <w:rFonts w:hint="eastAsia"/>
        </w:rPr>
        <w:t>号</w:t>
      </w:r>
    </w:p>
    <w:bookmarkEnd w:id="1"/>
    <w:p w:rsidR="00D208D0" w:rsidRPr="00623E3F" w:rsidRDefault="00D208D0" w:rsidP="00D208D0">
      <w:pPr>
        <w:spacing w:line="578" w:lineRule="exact"/>
        <w:ind w:firstLineChars="200" w:firstLine="640"/>
      </w:pPr>
    </w:p>
    <w:p w:rsidR="00D208D0" w:rsidRPr="00623E3F" w:rsidRDefault="00D208D0" w:rsidP="00D208D0">
      <w:pPr>
        <w:spacing w:line="578" w:lineRule="exact"/>
      </w:pPr>
      <w:r w:rsidRPr="00623E3F">
        <w:rPr>
          <w:rFonts w:hint="eastAsia"/>
        </w:rPr>
        <w:t>有关</w:t>
      </w:r>
      <w:r w:rsidRPr="00623E3F">
        <w:t>区县（</w:t>
      </w:r>
      <w:r w:rsidRPr="00623E3F">
        <w:rPr>
          <w:rFonts w:hint="eastAsia"/>
        </w:rPr>
        <w:t>自治县</w:t>
      </w:r>
      <w:r w:rsidRPr="00623E3F">
        <w:t>）</w:t>
      </w:r>
      <w:r w:rsidRPr="00623E3F">
        <w:rPr>
          <w:rFonts w:hint="eastAsia"/>
        </w:rPr>
        <w:t>财政局</w:t>
      </w:r>
      <w:r w:rsidRPr="00623E3F">
        <w:t>、农业农村</w:t>
      </w:r>
      <w:r w:rsidRPr="00623E3F">
        <w:rPr>
          <w:rFonts w:hint="eastAsia"/>
        </w:rPr>
        <w:t>委</w:t>
      </w:r>
      <w:r w:rsidRPr="00623E3F">
        <w:t>，西部科学城重庆高新区财政局、发展改革局，万盛经开区财政局、农林水局，</w:t>
      </w:r>
      <w:r w:rsidRPr="00623E3F">
        <w:rPr>
          <w:rFonts w:hint="eastAsia"/>
        </w:rPr>
        <w:t>国家金融</w:t>
      </w:r>
      <w:r w:rsidRPr="00623E3F">
        <w:t>监督管理总局重庆各监管分局，有关保险公司：</w:t>
      </w:r>
    </w:p>
    <w:p w:rsidR="00D208D0" w:rsidRPr="00623E3F" w:rsidRDefault="00D208D0" w:rsidP="00D208D0">
      <w:pPr>
        <w:spacing w:line="578" w:lineRule="exact"/>
        <w:ind w:firstLineChars="200" w:firstLine="640"/>
      </w:pPr>
      <w:r w:rsidRPr="00623E3F">
        <w:rPr>
          <w:rFonts w:hint="eastAsia"/>
        </w:rPr>
        <w:t>根据</w:t>
      </w:r>
      <w:r w:rsidRPr="00623E3F">
        <w:t>《</w:t>
      </w:r>
      <w:r w:rsidRPr="00623E3F">
        <w:rPr>
          <w:rFonts w:hint="eastAsia"/>
        </w:rPr>
        <w:t>财政部</w:t>
      </w:r>
      <w:r w:rsidRPr="00623E3F">
        <w:rPr>
          <w:rFonts w:hint="eastAsia"/>
        </w:rPr>
        <w:t xml:space="preserve"> </w:t>
      </w:r>
      <w:r w:rsidRPr="00623E3F">
        <w:rPr>
          <w:rFonts w:hint="eastAsia"/>
        </w:rPr>
        <w:t>农业</w:t>
      </w:r>
      <w:r w:rsidRPr="00623E3F">
        <w:t>农村</w:t>
      </w:r>
      <w:r w:rsidRPr="00623E3F">
        <w:rPr>
          <w:rFonts w:hint="eastAsia"/>
        </w:rPr>
        <w:t>部</w:t>
      </w:r>
      <w:r w:rsidRPr="00623E3F">
        <w:rPr>
          <w:rFonts w:hint="eastAsia"/>
        </w:rPr>
        <w:t xml:space="preserve"> </w:t>
      </w:r>
      <w:r w:rsidRPr="00623E3F">
        <w:rPr>
          <w:rFonts w:hint="eastAsia"/>
        </w:rPr>
        <w:t>金融</w:t>
      </w:r>
      <w:r w:rsidRPr="00623E3F">
        <w:t>监管总局</w:t>
      </w:r>
      <w:r w:rsidRPr="00623E3F">
        <w:rPr>
          <w:rFonts w:hint="eastAsia"/>
        </w:rPr>
        <w:t>关于</w:t>
      </w:r>
      <w:r w:rsidRPr="00623E3F">
        <w:t>在全国全面实施三大粮食作物完全成本保险和种植收入保险政策的通知》</w:t>
      </w:r>
      <w:r w:rsidRPr="00623E3F">
        <w:rPr>
          <w:rFonts w:hint="eastAsia"/>
        </w:rPr>
        <w:t>（财金</w:t>
      </w:r>
      <w:r w:rsidRPr="00623E3F">
        <w:t>〔</w:t>
      </w:r>
      <w:r w:rsidRPr="00623E3F">
        <w:rPr>
          <w:rFonts w:hint="eastAsia"/>
        </w:rPr>
        <w:t>2024</w:t>
      </w:r>
      <w:r w:rsidRPr="00623E3F">
        <w:t>〕</w:t>
      </w:r>
      <w:r w:rsidRPr="00623E3F">
        <w:rPr>
          <w:rFonts w:hint="eastAsia"/>
        </w:rPr>
        <w:t>45</w:t>
      </w:r>
      <w:r w:rsidRPr="00623E3F">
        <w:rPr>
          <w:rFonts w:hint="eastAsia"/>
        </w:rPr>
        <w:t>号）、</w:t>
      </w:r>
      <w:r w:rsidRPr="00623E3F">
        <w:t>《</w:t>
      </w:r>
      <w:r w:rsidRPr="00623E3F">
        <w:rPr>
          <w:rFonts w:hint="eastAsia"/>
        </w:rPr>
        <w:t>重庆市</w:t>
      </w:r>
      <w:r w:rsidRPr="00623E3F">
        <w:t>财政局关于印发〈</w:t>
      </w:r>
      <w:r w:rsidRPr="00623E3F">
        <w:rPr>
          <w:rFonts w:hint="eastAsia"/>
        </w:rPr>
        <w:t>重庆市</w:t>
      </w:r>
      <w:r w:rsidRPr="00623E3F">
        <w:t>农业保险保费补贴管理办法〉</w:t>
      </w:r>
      <w:r w:rsidRPr="00623E3F">
        <w:rPr>
          <w:rFonts w:hint="eastAsia"/>
        </w:rPr>
        <w:t>的</w:t>
      </w:r>
      <w:r w:rsidRPr="00623E3F">
        <w:t>通知》</w:t>
      </w:r>
      <w:r w:rsidRPr="00623E3F">
        <w:rPr>
          <w:rFonts w:hint="eastAsia"/>
        </w:rPr>
        <w:t>（渝财规</w:t>
      </w:r>
      <w:r w:rsidRPr="00623E3F">
        <w:t>〔</w:t>
      </w:r>
      <w:r w:rsidRPr="00623E3F">
        <w:rPr>
          <w:rFonts w:hint="eastAsia"/>
        </w:rPr>
        <w:t>2024</w:t>
      </w:r>
      <w:r w:rsidRPr="00623E3F">
        <w:t>〕</w:t>
      </w:r>
      <w:r w:rsidRPr="00623E3F">
        <w:rPr>
          <w:rFonts w:hint="eastAsia"/>
        </w:rPr>
        <w:t>3</w:t>
      </w:r>
      <w:r w:rsidRPr="00623E3F">
        <w:rPr>
          <w:rFonts w:hint="eastAsia"/>
        </w:rPr>
        <w:t>号）和</w:t>
      </w:r>
      <w:r w:rsidRPr="00623E3F">
        <w:t>《</w:t>
      </w:r>
      <w:r w:rsidRPr="00623E3F">
        <w:rPr>
          <w:rFonts w:hint="eastAsia"/>
        </w:rPr>
        <w:t>重庆市</w:t>
      </w:r>
      <w:r w:rsidRPr="00623E3F">
        <w:t>财政局</w:t>
      </w:r>
      <w:r w:rsidRPr="00623E3F">
        <w:rPr>
          <w:rFonts w:hint="eastAsia"/>
        </w:rPr>
        <w:t xml:space="preserve"> </w:t>
      </w:r>
      <w:r w:rsidRPr="00623E3F">
        <w:t>重庆市农业</w:t>
      </w:r>
      <w:r w:rsidRPr="00623E3F">
        <w:rPr>
          <w:rFonts w:hint="eastAsia"/>
        </w:rPr>
        <w:t>农村委</w:t>
      </w:r>
      <w:r w:rsidRPr="00623E3F">
        <w:rPr>
          <w:rFonts w:hint="eastAsia"/>
        </w:rPr>
        <w:t xml:space="preserve"> </w:t>
      </w:r>
      <w:r w:rsidRPr="00623E3F">
        <w:rPr>
          <w:rFonts w:hint="eastAsia"/>
        </w:rPr>
        <w:t>国家金融</w:t>
      </w:r>
      <w:r w:rsidRPr="00623E3F">
        <w:t>监督管理总局重庆监管局关于进一步做好主粮作物等完全成本（</w:t>
      </w:r>
      <w:r w:rsidRPr="00623E3F">
        <w:rPr>
          <w:rFonts w:hint="eastAsia"/>
        </w:rPr>
        <w:t>补充</w:t>
      </w:r>
      <w:r w:rsidRPr="00623E3F">
        <w:t>）</w:t>
      </w:r>
      <w:r w:rsidRPr="00623E3F">
        <w:rPr>
          <w:rFonts w:hint="eastAsia"/>
        </w:rPr>
        <w:t>保险</w:t>
      </w:r>
      <w:r w:rsidRPr="00623E3F">
        <w:t>和开展玉米种植收入保险工作的通知》</w:t>
      </w:r>
      <w:r w:rsidRPr="00623E3F">
        <w:rPr>
          <w:rFonts w:hint="eastAsia"/>
        </w:rPr>
        <w:t>（渝财金</w:t>
      </w:r>
      <w:r w:rsidRPr="00623E3F">
        <w:t>〔</w:t>
      </w:r>
      <w:r w:rsidRPr="00623E3F">
        <w:rPr>
          <w:rFonts w:hint="eastAsia"/>
        </w:rPr>
        <w:t>2024</w:t>
      </w:r>
      <w:r w:rsidRPr="00623E3F">
        <w:t>〕</w:t>
      </w:r>
      <w:r w:rsidRPr="00623E3F">
        <w:rPr>
          <w:rFonts w:hint="eastAsia"/>
        </w:rPr>
        <w:t>3</w:t>
      </w:r>
      <w:r w:rsidRPr="00623E3F">
        <w:rPr>
          <w:rFonts w:hint="eastAsia"/>
        </w:rPr>
        <w:t>号）等</w:t>
      </w:r>
      <w:r w:rsidRPr="00623E3F">
        <w:t>文件精神，结合我市</w:t>
      </w:r>
      <w:r w:rsidRPr="00623E3F">
        <w:rPr>
          <w:rFonts w:hint="eastAsia"/>
        </w:rPr>
        <w:t>农业保险</w:t>
      </w:r>
      <w:r w:rsidRPr="00623E3F">
        <w:t>工作实际，</w:t>
      </w:r>
      <w:r w:rsidRPr="00623E3F">
        <w:rPr>
          <w:rFonts w:hint="eastAsia"/>
        </w:rPr>
        <w:t>现</w:t>
      </w:r>
      <w:r w:rsidRPr="00623E3F">
        <w:t>就在全市</w:t>
      </w:r>
      <w:r w:rsidRPr="00623E3F">
        <w:rPr>
          <w:rFonts w:hint="eastAsia"/>
        </w:rPr>
        <w:t>种粮</w:t>
      </w:r>
      <w:r w:rsidRPr="00623E3F">
        <w:t>区县</w:t>
      </w:r>
      <w:r w:rsidRPr="00623E3F">
        <w:rPr>
          <w:rFonts w:hint="eastAsia"/>
        </w:rPr>
        <w:t>实施稻谷</w:t>
      </w:r>
      <w:r w:rsidRPr="00623E3F">
        <w:t>、小麦、玉米</w:t>
      </w:r>
      <w:r w:rsidRPr="00623E3F">
        <w:rPr>
          <w:rFonts w:hint="eastAsia"/>
        </w:rPr>
        <w:t>三大</w:t>
      </w:r>
      <w:r w:rsidRPr="00623E3F">
        <w:t>粮食作物完</w:t>
      </w:r>
      <w:r w:rsidRPr="00623E3F">
        <w:lastRenderedPageBreak/>
        <w:t>全成本保险和</w:t>
      </w:r>
      <w:r w:rsidRPr="00623E3F">
        <w:rPr>
          <w:rFonts w:hint="eastAsia"/>
        </w:rPr>
        <w:t>玉米</w:t>
      </w:r>
      <w:r w:rsidRPr="00623E3F">
        <w:t>种植收入保险</w:t>
      </w:r>
      <w:r w:rsidRPr="00623E3F">
        <w:rPr>
          <w:rFonts w:hint="eastAsia"/>
        </w:rPr>
        <w:t>政策</w:t>
      </w:r>
      <w:r w:rsidRPr="00623E3F">
        <w:t>有关事项通知如下</w:t>
      </w:r>
      <w:r w:rsidRPr="00623E3F">
        <w:rPr>
          <w:rFonts w:hint="eastAsia"/>
        </w:rPr>
        <w:t>。</w:t>
      </w:r>
    </w:p>
    <w:p w:rsidR="00D208D0" w:rsidRPr="00623E3F" w:rsidRDefault="00D208D0" w:rsidP="00D208D0">
      <w:pPr>
        <w:spacing w:line="578" w:lineRule="exact"/>
        <w:ind w:firstLineChars="200" w:firstLine="640"/>
        <w:rPr>
          <w:rFonts w:eastAsia="方正黑体_GBK" w:hint="eastAsia"/>
        </w:rPr>
      </w:pPr>
      <w:r w:rsidRPr="00623E3F">
        <w:rPr>
          <w:rFonts w:eastAsia="方正黑体_GBK" w:hint="eastAsia"/>
        </w:rPr>
        <w:t>一、实施范围</w:t>
      </w:r>
    </w:p>
    <w:p w:rsidR="00D208D0" w:rsidRPr="00623E3F" w:rsidRDefault="00D208D0" w:rsidP="00D208D0">
      <w:pPr>
        <w:spacing w:line="578" w:lineRule="exact"/>
        <w:ind w:firstLineChars="200" w:firstLine="640"/>
      </w:pPr>
      <w:r w:rsidRPr="00623E3F">
        <w:t>全市所有种粮区县。</w:t>
      </w:r>
    </w:p>
    <w:p w:rsidR="00D208D0" w:rsidRPr="00623E3F" w:rsidRDefault="00D208D0" w:rsidP="00D208D0">
      <w:pPr>
        <w:spacing w:line="578" w:lineRule="exact"/>
        <w:ind w:firstLineChars="200" w:firstLine="640"/>
      </w:pPr>
      <w:r w:rsidRPr="00623E3F">
        <w:rPr>
          <w:rFonts w:hint="eastAsia"/>
        </w:rPr>
        <w:t>已实施稻谷、小麦、玉米三大粮食作物完全成本保险和玉米种植收入保险</w:t>
      </w:r>
      <w:r w:rsidRPr="00623E3F">
        <w:t>的产粮大县，继续按照</w:t>
      </w:r>
      <w:r w:rsidRPr="00623E3F">
        <w:rPr>
          <w:rFonts w:hint="eastAsia"/>
        </w:rPr>
        <w:t>渝财金</w:t>
      </w:r>
      <w:r w:rsidRPr="00623E3F">
        <w:t>〔</w:t>
      </w:r>
      <w:r w:rsidRPr="00623E3F">
        <w:rPr>
          <w:rFonts w:hint="eastAsia"/>
        </w:rPr>
        <w:t>2024</w:t>
      </w:r>
      <w:r w:rsidRPr="00623E3F">
        <w:t>〕</w:t>
      </w:r>
      <w:r w:rsidRPr="00623E3F">
        <w:rPr>
          <w:rFonts w:hint="eastAsia"/>
        </w:rPr>
        <w:t>3</w:t>
      </w:r>
      <w:r w:rsidRPr="00623E3F">
        <w:rPr>
          <w:rFonts w:hint="eastAsia"/>
        </w:rPr>
        <w:t>号规定</w:t>
      </w:r>
      <w:r w:rsidRPr="00623E3F">
        <w:t>执行。</w:t>
      </w:r>
    </w:p>
    <w:p w:rsidR="00D208D0" w:rsidRPr="00623E3F" w:rsidRDefault="00D208D0" w:rsidP="00D208D0">
      <w:pPr>
        <w:spacing w:line="578" w:lineRule="exact"/>
        <w:ind w:firstLineChars="200" w:firstLine="640"/>
        <w:rPr>
          <w:rFonts w:eastAsia="方正黑体_GBK" w:hint="eastAsia"/>
        </w:rPr>
      </w:pPr>
      <w:r w:rsidRPr="00623E3F">
        <w:rPr>
          <w:rFonts w:eastAsia="方正黑体_GBK" w:hint="eastAsia"/>
        </w:rPr>
        <w:t>二、保费承担比例</w:t>
      </w:r>
    </w:p>
    <w:p w:rsidR="00D208D0" w:rsidRPr="00623E3F" w:rsidRDefault="00D208D0" w:rsidP="00D208D0">
      <w:pPr>
        <w:spacing w:line="578" w:lineRule="exact"/>
        <w:ind w:firstLineChars="200" w:firstLine="640"/>
      </w:pPr>
      <w:r w:rsidRPr="00623E3F">
        <w:rPr>
          <w:rFonts w:hint="eastAsia"/>
        </w:rPr>
        <w:t>（一）自</w:t>
      </w:r>
      <w:r w:rsidRPr="00623E3F">
        <w:rPr>
          <w:rFonts w:hint="eastAsia"/>
        </w:rPr>
        <w:t>2024</w:t>
      </w:r>
      <w:r w:rsidRPr="00623E3F">
        <w:rPr>
          <w:rFonts w:hint="eastAsia"/>
        </w:rPr>
        <w:t>年</w:t>
      </w:r>
      <w:r w:rsidRPr="00623E3F">
        <w:rPr>
          <w:rFonts w:hint="eastAsia"/>
        </w:rPr>
        <w:t>1</w:t>
      </w:r>
      <w:r w:rsidRPr="00623E3F">
        <w:rPr>
          <w:rFonts w:hint="eastAsia"/>
        </w:rPr>
        <w:t>月</w:t>
      </w:r>
      <w:r w:rsidRPr="00623E3F">
        <w:rPr>
          <w:rFonts w:hint="eastAsia"/>
        </w:rPr>
        <w:t>1</w:t>
      </w:r>
      <w:r w:rsidRPr="00623E3F">
        <w:rPr>
          <w:rFonts w:hint="eastAsia"/>
        </w:rPr>
        <w:t>日</w:t>
      </w:r>
      <w:r w:rsidRPr="00623E3F">
        <w:t>起，</w:t>
      </w:r>
      <w:r w:rsidRPr="00623E3F">
        <w:rPr>
          <w:rFonts w:hint="eastAsia"/>
        </w:rPr>
        <w:t>在</w:t>
      </w:r>
      <w:r w:rsidRPr="00623E3F">
        <w:t>全市所有种粮区县</w:t>
      </w:r>
      <w:r w:rsidRPr="00623E3F">
        <w:rPr>
          <w:rFonts w:hint="eastAsia"/>
        </w:rPr>
        <w:t>实施稻谷、</w:t>
      </w:r>
      <w:r w:rsidRPr="00623E3F">
        <w:t>小麦、玉米三大粮食作物完全成本</w:t>
      </w:r>
      <w:r w:rsidRPr="00623E3F">
        <w:rPr>
          <w:rFonts w:hint="eastAsia"/>
        </w:rPr>
        <w:t>保险</w:t>
      </w:r>
      <w:r w:rsidRPr="00623E3F">
        <w:t>和玉米种植收入保险</w:t>
      </w:r>
      <w:r w:rsidRPr="00623E3F">
        <w:rPr>
          <w:rFonts w:hint="eastAsia"/>
        </w:rPr>
        <w:t>，</w:t>
      </w:r>
      <w:r w:rsidRPr="00623E3F">
        <w:t>保费承担比例如下表。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878"/>
        <w:gridCol w:w="827"/>
        <w:gridCol w:w="878"/>
        <w:gridCol w:w="880"/>
        <w:gridCol w:w="2183"/>
      </w:tblGrid>
      <w:tr w:rsidR="00D208D0" w:rsidRPr="00623E3F" w:rsidTr="00260007">
        <w:trPr>
          <w:trHeight w:hRule="exact" w:val="561"/>
          <w:tblHeader/>
          <w:jc w:val="center"/>
        </w:trPr>
        <w:tc>
          <w:tcPr>
            <w:tcW w:w="1997" w:type="pct"/>
            <w:vMerge w:val="restart"/>
            <w:shd w:val="clear" w:color="auto" w:fill="auto"/>
            <w:noWrap/>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区县类型</w:t>
            </w:r>
          </w:p>
        </w:tc>
        <w:tc>
          <w:tcPr>
            <w:tcW w:w="1842" w:type="pct"/>
            <w:gridSpan w:val="4"/>
            <w:shd w:val="clear" w:color="auto" w:fill="auto"/>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保费承担比例</w:t>
            </w:r>
          </w:p>
        </w:tc>
        <w:tc>
          <w:tcPr>
            <w:tcW w:w="1161" w:type="pct"/>
            <w:vMerge w:val="restart"/>
            <w:shd w:val="clear" w:color="auto" w:fill="auto"/>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备注</w:t>
            </w:r>
          </w:p>
        </w:tc>
      </w:tr>
      <w:tr w:rsidR="00D208D0" w:rsidRPr="00623E3F" w:rsidTr="00260007">
        <w:trPr>
          <w:trHeight w:hRule="exact" w:val="537"/>
          <w:tblHeader/>
          <w:jc w:val="center"/>
        </w:trPr>
        <w:tc>
          <w:tcPr>
            <w:tcW w:w="1997" w:type="pct"/>
            <w:vMerge/>
            <w:shd w:val="clear" w:color="auto" w:fill="auto"/>
            <w:noWrap/>
            <w:vAlign w:val="center"/>
          </w:tcPr>
          <w:p w:rsidR="00D208D0" w:rsidRPr="00623E3F" w:rsidRDefault="00D208D0" w:rsidP="00260007">
            <w:pPr>
              <w:spacing w:line="280" w:lineRule="exact"/>
              <w:jc w:val="center"/>
              <w:rPr>
                <w:rFonts w:eastAsia="方正黑体_GBK" w:hint="eastAsia"/>
                <w:sz w:val="24"/>
                <w:szCs w:val="24"/>
              </w:rPr>
            </w:pPr>
          </w:p>
        </w:tc>
        <w:tc>
          <w:tcPr>
            <w:tcW w:w="467" w:type="pct"/>
            <w:shd w:val="clear" w:color="auto" w:fill="auto"/>
            <w:noWrap/>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中央</w:t>
            </w:r>
          </w:p>
        </w:tc>
        <w:tc>
          <w:tcPr>
            <w:tcW w:w="440" w:type="pct"/>
            <w:shd w:val="clear" w:color="auto" w:fill="auto"/>
            <w:noWrap/>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市</w:t>
            </w:r>
          </w:p>
        </w:tc>
        <w:tc>
          <w:tcPr>
            <w:tcW w:w="467" w:type="pct"/>
            <w:shd w:val="clear" w:color="auto" w:fill="auto"/>
            <w:noWrap/>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区县</w:t>
            </w:r>
          </w:p>
        </w:tc>
        <w:tc>
          <w:tcPr>
            <w:tcW w:w="467" w:type="pct"/>
            <w:shd w:val="clear" w:color="auto" w:fill="auto"/>
            <w:noWrap/>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农户</w:t>
            </w:r>
          </w:p>
        </w:tc>
        <w:tc>
          <w:tcPr>
            <w:tcW w:w="1161" w:type="pct"/>
            <w:vMerge/>
            <w:shd w:val="clear" w:color="auto" w:fill="auto"/>
            <w:vAlign w:val="center"/>
          </w:tcPr>
          <w:p w:rsidR="00D208D0" w:rsidRPr="00623E3F" w:rsidRDefault="00D208D0" w:rsidP="00260007">
            <w:pPr>
              <w:spacing w:line="280" w:lineRule="exact"/>
              <w:jc w:val="center"/>
              <w:rPr>
                <w:rFonts w:eastAsia="方正黑体_GBK" w:hint="eastAsia"/>
                <w:sz w:val="24"/>
                <w:szCs w:val="24"/>
              </w:rPr>
            </w:pPr>
          </w:p>
        </w:tc>
      </w:tr>
      <w:tr w:rsidR="00D208D0" w:rsidRPr="00623E3F" w:rsidTr="00260007">
        <w:trPr>
          <w:trHeight w:hRule="exact" w:val="537"/>
          <w:jc w:val="center"/>
        </w:trPr>
        <w:tc>
          <w:tcPr>
            <w:tcW w:w="1997" w:type="pct"/>
            <w:shd w:val="clear" w:color="auto" w:fill="auto"/>
            <w:vAlign w:val="center"/>
          </w:tcPr>
          <w:p w:rsidR="00D208D0" w:rsidRPr="00623E3F" w:rsidRDefault="00D208D0" w:rsidP="00260007">
            <w:pPr>
              <w:spacing w:line="240" w:lineRule="auto"/>
              <w:rPr>
                <w:sz w:val="24"/>
                <w:szCs w:val="24"/>
              </w:rPr>
            </w:pPr>
            <w:r w:rsidRPr="00623E3F">
              <w:rPr>
                <w:rFonts w:hint="eastAsia"/>
                <w:sz w:val="24"/>
                <w:szCs w:val="24"/>
              </w:rPr>
              <w:t>全市</w:t>
            </w:r>
            <w:r w:rsidRPr="00623E3F">
              <w:rPr>
                <w:sz w:val="24"/>
                <w:szCs w:val="24"/>
              </w:rPr>
              <w:t>种粮区县</w:t>
            </w:r>
          </w:p>
        </w:tc>
        <w:tc>
          <w:tcPr>
            <w:tcW w:w="467" w:type="pct"/>
            <w:shd w:val="clear" w:color="auto" w:fill="auto"/>
            <w:vAlign w:val="center"/>
          </w:tcPr>
          <w:p w:rsidR="00D208D0" w:rsidRPr="00623E3F" w:rsidRDefault="00D208D0" w:rsidP="00260007">
            <w:pPr>
              <w:spacing w:line="240" w:lineRule="auto"/>
              <w:rPr>
                <w:sz w:val="24"/>
                <w:szCs w:val="24"/>
              </w:rPr>
            </w:pPr>
          </w:p>
        </w:tc>
        <w:tc>
          <w:tcPr>
            <w:tcW w:w="440" w:type="pct"/>
            <w:shd w:val="clear" w:color="auto" w:fill="auto"/>
            <w:vAlign w:val="center"/>
          </w:tcPr>
          <w:p w:rsidR="00D208D0" w:rsidRPr="00623E3F" w:rsidRDefault="00D208D0" w:rsidP="00260007">
            <w:pPr>
              <w:spacing w:line="240" w:lineRule="auto"/>
              <w:rPr>
                <w:sz w:val="24"/>
                <w:szCs w:val="24"/>
              </w:rPr>
            </w:pPr>
          </w:p>
        </w:tc>
        <w:tc>
          <w:tcPr>
            <w:tcW w:w="467" w:type="pct"/>
            <w:shd w:val="clear" w:color="auto" w:fill="auto"/>
            <w:vAlign w:val="center"/>
          </w:tcPr>
          <w:p w:rsidR="00D208D0" w:rsidRPr="00623E3F" w:rsidRDefault="00D208D0" w:rsidP="00260007">
            <w:pPr>
              <w:spacing w:line="240" w:lineRule="auto"/>
              <w:rPr>
                <w:sz w:val="24"/>
                <w:szCs w:val="24"/>
              </w:rPr>
            </w:pPr>
          </w:p>
        </w:tc>
        <w:tc>
          <w:tcPr>
            <w:tcW w:w="467" w:type="pct"/>
            <w:shd w:val="clear" w:color="auto" w:fill="auto"/>
            <w:vAlign w:val="center"/>
          </w:tcPr>
          <w:p w:rsidR="00D208D0" w:rsidRPr="00623E3F" w:rsidRDefault="00D208D0" w:rsidP="00260007">
            <w:pPr>
              <w:spacing w:line="240" w:lineRule="auto"/>
              <w:rPr>
                <w:sz w:val="24"/>
                <w:szCs w:val="24"/>
              </w:rPr>
            </w:pPr>
          </w:p>
        </w:tc>
        <w:tc>
          <w:tcPr>
            <w:tcW w:w="1161" w:type="pct"/>
            <w:shd w:val="clear" w:color="auto" w:fill="auto"/>
            <w:vAlign w:val="center"/>
          </w:tcPr>
          <w:p w:rsidR="00D208D0" w:rsidRPr="00623E3F" w:rsidRDefault="00D208D0" w:rsidP="00260007">
            <w:pPr>
              <w:spacing w:line="240" w:lineRule="auto"/>
              <w:rPr>
                <w:sz w:val="24"/>
                <w:szCs w:val="24"/>
              </w:rPr>
            </w:pPr>
          </w:p>
        </w:tc>
      </w:tr>
      <w:tr w:rsidR="00D208D0" w:rsidRPr="00623E3F" w:rsidTr="00260007">
        <w:trPr>
          <w:trHeight w:hRule="exact" w:val="537"/>
          <w:jc w:val="center"/>
        </w:trPr>
        <w:tc>
          <w:tcPr>
            <w:tcW w:w="1997" w:type="pct"/>
            <w:shd w:val="clear" w:color="auto" w:fill="auto"/>
            <w:vAlign w:val="center"/>
          </w:tcPr>
          <w:p w:rsidR="00D208D0" w:rsidRPr="00623E3F" w:rsidRDefault="00D208D0" w:rsidP="00260007">
            <w:pPr>
              <w:spacing w:line="240" w:lineRule="auto"/>
              <w:rPr>
                <w:sz w:val="24"/>
                <w:szCs w:val="24"/>
              </w:rPr>
            </w:pPr>
            <w:r w:rsidRPr="00623E3F">
              <w:rPr>
                <w:rFonts w:hint="eastAsia"/>
                <w:sz w:val="24"/>
                <w:szCs w:val="24"/>
              </w:rPr>
              <w:t>（</w:t>
            </w:r>
            <w:r w:rsidRPr="00623E3F">
              <w:rPr>
                <w:rFonts w:hint="eastAsia"/>
                <w:sz w:val="24"/>
                <w:szCs w:val="24"/>
              </w:rPr>
              <w:t>1</w:t>
            </w:r>
            <w:r w:rsidRPr="00623E3F">
              <w:rPr>
                <w:rFonts w:hint="eastAsia"/>
                <w:sz w:val="24"/>
                <w:szCs w:val="24"/>
              </w:rPr>
              <w:t>）国家乡村振兴</w:t>
            </w:r>
            <w:r w:rsidRPr="00623E3F">
              <w:rPr>
                <w:sz w:val="24"/>
                <w:szCs w:val="24"/>
              </w:rPr>
              <w:t>帮扶县</w:t>
            </w:r>
          </w:p>
        </w:tc>
        <w:tc>
          <w:tcPr>
            <w:tcW w:w="467" w:type="pct"/>
            <w:shd w:val="clear" w:color="auto" w:fill="auto"/>
            <w:vAlign w:val="center"/>
          </w:tcPr>
          <w:p w:rsidR="00D208D0" w:rsidRPr="00623E3F" w:rsidRDefault="00D208D0" w:rsidP="00260007">
            <w:pPr>
              <w:spacing w:line="240" w:lineRule="auto"/>
              <w:rPr>
                <w:sz w:val="24"/>
                <w:szCs w:val="24"/>
              </w:rPr>
            </w:pPr>
            <w:r w:rsidRPr="00623E3F">
              <w:rPr>
                <w:rFonts w:hint="eastAsia"/>
                <w:sz w:val="24"/>
                <w:szCs w:val="24"/>
              </w:rPr>
              <w:t>45</w:t>
            </w:r>
            <w:r w:rsidRPr="00623E3F">
              <w:rPr>
                <w:sz w:val="24"/>
                <w:szCs w:val="24"/>
              </w:rPr>
              <w:t>%</w:t>
            </w:r>
          </w:p>
        </w:tc>
        <w:tc>
          <w:tcPr>
            <w:tcW w:w="440" w:type="pct"/>
            <w:shd w:val="clear" w:color="auto" w:fill="auto"/>
            <w:vAlign w:val="center"/>
          </w:tcPr>
          <w:p w:rsidR="00D208D0" w:rsidRPr="00623E3F" w:rsidRDefault="00D208D0" w:rsidP="00260007">
            <w:pPr>
              <w:spacing w:line="240" w:lineRule="auto"/>
              <w:rPr>
                <w:sz w:val="24"/>
                <w:szCs w:val="24"/>
              </w:rPr>
            </w:pPr>
            <w:r w:rsidRPr="00623E3F">
              <w:rPr>
                <w:sz w:val="24"/>
                <w:szCs w:val="24"/>
              </w:rPr>
              <w:t>35%</w:t>
            </w:r>
          </w:p>
        </w:tc>
        <w:tc>
          <w:tcPr>
            <w:tcW w:w="467" w:type="pct"/>
            <w:shd w:val="clear" w:color="auto" w:fill="auto"/>
            <w:vAlign w:val="center"/>
          </w:tcPr>
          <w:p w:rsidR="00D208D0" w:rsidRPr="00623E3F" w:rsidRDefault="00D208D0" w:rsidP="00260007">
            <w:pPr>
              <w:spacing w:line="240" w:lineRule="auto"/>
              <w:rPr>
                <w:sz w:val="24"/>
                <w:szCs w:val="24"/>
              </w:rPr>
            </w:pPr>
            <w:r w:rsidRPr="00623E3F">
              <w:rPr>
                <w:sz w:val="24"/>
                <w:szCs w:val="24"/>
              </w:rPr>
              <w:t>5%</w:t>
            </w:r>
          </w:p>
        </w:tc>
        <w:tc>
          <w:tcPr>
            <w:tcW w:w="467" w:type="pct"/>
            <w:shd w:val="clear" w:color="auto" w:fill="auto"/>
            <w:vAlign w:val="center"/>
          </w:tcPr>
          <w:p w:rsidR="00D208D0" w:rsidRPr="00623E3F" w:rsidRDefault="00D208D0" w:rsidP="00260007">
            <w:pPr>
              <w:spacing w:line="240" w:lineRule="auto"/>
              <w:rPr>
                <w:sz w:val="24"/>
                <w:szCs w:val="24"/>
              </w:rPr>
            </w:pPr>
            <w:r w:rsidRPr="00623E3F">
              <w:rPr>
                <w:rFonts w:hint="eastAsia"/>
                <w:sz w:val="24"/>
                <w:szCs w:val="24"/>
              </w:rPr>
              <w:t>15</w:t>
            </w:r>
            <w:r w:rsidRPr="00623E3F">
              <w:rPr>
                <w:sz w:val="24"/>
                <w:szCs w:val="24"/>
              </w:rPr>
              <w:t>%</w:t>
            </w:r>
          </w:p>
        </w:tc>
        <w:tc>
          <w:tcPr>
            <w:tcW w:w="1161" w:type="pct"/>
            <w:shd w:val="clear" w:color="auto" w:fill="auto"/>
            <w:vAlign w:val="center"/>
          </w:tcPr>
          <w:p w:rsidR="00D208D0" w:rsidRPr="00623E3F" w:rsidRDefault="00D208D0" w:rsidP="00260007">
            <w:pPr>
              <w:spacing w:line="240" w:lineRule="auto"/>
              <w:rPr>
                <w:sz w:val="24"/>
                <w:szCs w:val="24"/>
              </w:rPr>
            </w:pPr>
          </w:p>
        </w:tc>
      </w:tr>
      <w:tr w:rsidR="00D208D0" w:rsidRPr="00623E3F" w:rsidTr="00260007">
        <w:trPr>
          <w:trHeight w:hRule="exact" w:val="537"/>
          <w:jc w:val="center"/>
        </w:trPr>
        <w:tc>
          <w:tcPr>
            <w:tcW w:w="1997" w:type="pct"/>
            <w:shd w:val="clear" w:color="auto" w:fill="auto"/>
            <w:vAlign w:val="center"/>
          </w:tcPr>
          <w:p w:rsidR="00D208D0" w:rsidRPr="00623E3F" w:rsidRDefault="00D208D0" w:rsidP="00260007">
            <w:pPr>
              <w:spacing w:line="240" w:lineRule="auto"/>
              <w:rPr>
                <w:sz w:val="24"/>
                <w:szCs w:val="24"/>
              </w:rPr>
            </w:pPr>
            <w:r w:rsidRPr="00623E3F">
              <w:rPr>
                <w:rFonts w:hint="eastAsia"/>
                <w:sz w:val="24"/>
                <w:szCs w:val="24"/>
              </w:rPr>
              <w:t>（</w:t>
            </w:r>
            <w:r w:rsidRPr="00623E3F">
              <w:rPr>
                <w:rFonts w:hint="eastAsia"/>
                <w:sz w:val="24"/>
                <w:szCs w:val="24"/>
              </w:rPr>
              <w:t>2</w:t>
            </w:r>
            <w:r w:rsidRPr="00623E3F">
              <w:rPr>
                <w:rFonts w:hint="eastAsia"/>
                <w:sz w:val="24"/>
                <w:szCs w:val="24"/>
              </w:rPr>
              <w:t>）其他</w:t>
            </w:r>
            <w:r w:rsidRPr="00623E3F">
              <w:rPr>
                <w:sz w:val="24"/>
                <w:szCs w:val="24"/>
              </w:rPr>
              <w:t>区县</w:t>
            </w:r>
          </w:p>
        </w:tc>
        <w:tc>
          <w:tcPr>
            <w:tcW w:w="467" w:type="pct"/>
            <w:shd w:val="clear" w:color="auto" w:fill="auto"/>
            <w:vAlign w:val="center"/>
          </w:tcPr>
          <w:p w:rsidR="00D208D0" w:rsidRPr="00623E3F" w:rsidRDefault="00D208D0" w:rsidP="00260007">
            <w:pPr>
              <w:spacing w:line="240" w:lineRule="auto"/>
              <w:rPr>
                <w:sz w:val="24"/>
                <w:szCs w:val="24"/>
              </w:rPr>
            </w:pPr>
          </w:p>
        </w:tc>
        <w:tc>
          <w:tcPr>
            <w:tcW w:w="440" w:type="pct"/>
            <w:shd w:val="clear" w:color="auto" w:fill="auto"/>
            <w:vAlign w:val="center"/>
          </w:tcPr>
          <w:p w:rsidR="00D208D0" w:rsidRPr="00623E3F" w:rsidRDefault="00D208D0" w:rsidP="00260007">
            <w:pPr>
              <w:spacing w:line="240" w:lineRule="auto"/>
              <w:rPr>
                <w:sz w:val="24"/>
                <w:szCs w:val="24"/>
              </w:rPr>
            </w:pPr>
          </w:p>
        </w:tc>
        <w:tc>
          <w:tcPr>
            <w:tcW w:w="467" w:type="pct"/>
            <w:shd w:val="clear" w:color="auto" w:fill="auto"/>
            <w:vAlign w:val="center"/>
          </w:tcPr>
          <w:p w:rsidR="00D208D0" w:rsidRPr="00623E3F" w:rsidRDefault="00D208D0" w:rsidP="00260007">
            <w:pPr>
              <w:spacing w:line="240" w:lineRule="auto"/>
              <w:rPr>
                <w:sz w:val="24"/>
                <w:szCs w:val="24"/>
              </w:rPr>
            </w:pPr>
          </w:p>
        </w:tc>
        <w:tc>
          <w:tcPr>
            <w:tcW w:w="467" w:type="pct"/>
            <w:shd w:val="clear" w:color="auto" w:fill="auto"/>
            <w:vAlign w:val="center"/>
          </w:tcPr>
          <w:p w:rsidR="00D208D0" w:rsidRPr="00623E3F" w:rsidRDefault="00D208D0" w:rsidP="00260007">
            <w:pPr>
              <w:spacing w:line="240" w:lineRule="auto"/>
              <w:rPr>
                <w:sz w:val="24"/>
                <w:szCs w:val="24"/>
              </w:rPr>
            </w:pPr>
          </w:p>
        </w:tc>
        <w:tc>
          <w:tcPr>
            <w:tcW w:w="1161" w:type="pct"/>
            <w:shd w:val="clear" w:color="auto" w:fill="auto"/>
            <w:vAlign w:val="center"/>
          </w:tcPr>
          <w:p w:rsidR="00D208D0" w:rsidRPr="00623E3F" w:rsidRDefault="00D208D0" w:rsidP="00260007">
            <w:pPr>
              <w:spacing w:line="240" w:lineRule="auto"/>
              <w:rPr>
                <w:sz w:val="24"/>
                <w:szCs w:val="24"/>
              </w:rPr>
            </w:pPr>
          </w:p>
        </w:tc>
      </w:tr>
      <w:tr w:rsidR="00D208D0" w:rsidRPr="00623E3F" w:rsidTr="00260007">
        <w:trPr>
          <w:trHeight w:hRule="exact" w:val="537"/>
          <w:jc w:val="center"/>
        </w:trPr>
        <w:tc>
          <w:tcPr>
            <w:tcW w:w="1997" w:type="pct"/>
            <w:shd w:val="clear" w:color="auto" w:fill="auto"/>
            <w:noWrap/>
            <w:vAlign w:val="center"/>
          </w:tcPr>
          <w:p w:rsidR="00D208D0" w:rsidRPr="00623E3F" w:rsidRDefault="00D208D0" w:rsidP="00260007">
            <w:pPr>
              <w:spacing w:line="240" w:lineRule="auto"/>
              <w:ind w:firstLineChars="250" w:firstLine="600"/>
              <w:rPr>
                <w:sz w:val="24"/>
                <w:szCs w:val="24"/>
              </w:rPr>
            </w:pPr>
            <w:r w:rsidRPr="00623E3F">
              <w:rPr>
                <w:rFonts w:hint="eastAsia"/>
                <w:sz w:val="24"/>
                <w:szCs w:val="24"/>
              </w:rPr>
              <w:t>产粮大县</w:t>
            </w:r>
          </w:p>
        </w:tc>
        <w:tc>
          <w:tcPr>
            <w:tcW w:w="467" w:type="pct"/>
            <w:shd w:val="clear" w:color="auto" w:fill="auto"/>
            <w:noWrap/>
            <w:vAlign w:val="center"/>
          </w:tcPr>
          <w:p w:rsidR="00D208D0" w:rsidRPr="00623E3F" w:rsidRDefault="00D208D0" w:rsidP="00260007">
            <w:pPr>
              <w:spacing w:line="240" w:lineRule="auto"/>
              <w:rPr>
                <w:sz w:val="24"/>
                <w:szCs w:val="24"/>
              </w:rPr>
            </w:pPr>
            <w:r w:rsidRPr="00623E3F">
              <w:rPr>
                <w:rFonts w:hint="eastAsia"/>
                <w:sz w:val="24"/>
                <w:szCs w:val="24"/>
              </w:rPr>
              <w:t>45</w:t>
            </w:r>
            <w:r w:rsidRPr="00623E3F">
              <w:rPr>
                <w:sz w:val="24"/>
                <w:szCs w:val="24"/>
              </w:rPr>
              <w:t>%</w:t>
            </w:r>
          </w:p>
        </w:tc>
        <w:tc>
          <w:tcPr>
            <w:tcW w:w="440" w:type="pct"/>
            <w:shd w:val="clear" w:color="auto" w:fill="auto"/>
            <w:noWrap/>
            <w:vAlign w:val="center"/>
          </w:tcPr>
          <w:p w:rsidR="00D208D0" w:rsidRPr="00623E3F" w:rsidRDefault="00D208D0" w:rsidP="00260007">
            <w:pPr>
              <w:spacing w:line="240" w:lineRule="auto"/>
              <w:rPr>
                <w:sz w:val="24"/>
                <w:szCs w:val="24"/>
              </w:rPr>
            </w:pPr>
            <w:r w:rsidRPr="00623E3F">
              <w:rPr>
                <w:sz w:val="24"/>
                <w:szCs w:val="24"/>
              </w:rPr>
              <w:t>30%</w:t>
            </w:r>
          </w:p>
        </w:tc>
        <w:tc>
          <w:tcPr>
            <w:tcW w:w="467" w:type="pct"/>
            <w:shd w:val="clear" w:color="auto" w:fill="auto"/>
            <w:noWrap/>
            <w:vAlign w:val="center"/>
          </w:tcPr>
          <w:p w:rsidR="00D208D0" w:rsidRPr="00623E3F" w:rsidRDefault="00D208D0" w:rsidP="00260007">
            <w:pPr>
              <w:spacing w:line="240" w:lineRule="auto"/>
              <w:rPr>
                <w:sz w:val="24"/>
                <w:szCs w:val="24"/>
              </w:rPr>
            </w:pPr>
            <w:r w:rsidRPr="00623E3F">
              <w:rPr>
                <w:sz w:val="24"/>
                <w:szCs w:val="24"/>
              </w:rPr>
              <w:t>10%</w:t>
            </w:r>
          </w:p>
        </w:tc>
        <w:tc>
          <w:tcPr>
            <w:tcW w:w="467" w:type="pct"/>
            <w:shd w:val="clear" w:color="auto" w:fill="auto"/>
            <w:noWrap/>
            <w:vAlign w:val="center"/>
          </w:tcPr>
          <w:p w:rsidR="00D208D0" w:rsidRPr="00623E3F" w:rsidRDefault="00D208D0" w:rsidP="00260007">
            <w:pPr>
              <w:spacing w:line="240" w:lineRule="auto"/>
              <w:rPr>
                <w:sz w:val="24"/>
                <w:szCs w:val="24"/>
              </w:rPr>
            </w:pPr>
            <w:r w:rsidRPr="00623E3F">
              <w:rPr>
                <w:sz w:val="24"/>
                <w:szCs w:val="24"/>
              </w:rPr>
              <w:t>15%</w:t>
            </w:r>
          </w:p>
        </w:tc>
        <w:tc>
          <w:tcPr>
            <w:tcW w:w="1161" w:type="pct"/>
            <w:shd w:val="clear" w:color="auto" w:fill="auto"/>
            <w:vAlign w:val="center"/>
          </w:tcPr>
          <w:p w:rsidR="00D208D0" w:rsidRPr="00623E3F" w:rsidRDefault="00D208D0" w:rsidP="00260007">
            <w:pPr>
              <w:spacing w:line="240" w:lineRule="auto"/>
              <w:rPr>
                <w:sz w:val="24"/>
                <w:szCs w:val="24"/>
              </w:rPr>
            </w:pPr>
            <w:r w:rsidRPr="00623E3F">
              <w:rPr>
                <w:rFonts w:hint="eastAsia"/>
                <w:sz w:val="24"/>
                <w:szCs w:val="24"/>
              </w:rPr>
              <w:t>按照渝财金〔</w:t>
            </w:r>
            <w:r w:rsidRPr="00623E3F">
              <w:rPr>
                <w:sz w:val="24"/>
                <w:szCs w:val="24"/>
              </w:rPr>
              <w:t>2024</w:t>
            </w:r>
            <w:r w:rsidRPr="00623E3F">
              <w:rPr>
                <w:rFonts w:hint="eastAsia"/>
                <w:sz w:val="24"/>
                <w:szCs w:val="24"/>
              </w:rPr>
              <w:t>〕</w:t>
            </w:r>
            <w:r w:rsidRPr="00623E3F">
              <w:rPr>
                <w:sz w:val="24"/>
                <w:szCs w:val="24"/>
              </w:rPr>
              <w:t>3</w:t>
            </w:r>
            <w:r w:rsidRPr="00623E3F">
              <w:rPr>
                <w:rFonts w:hint="eastAsia"/>
                <w:sz w:val="24"/>
                <w:szCs w:val="24"/>
              </w:rPr>
              <w:t>号</w:t>
            </w:r>
          </w:p>
          <w:p w:rsidR="00D208D0" w:rsidRPr="00623E3F" w:rsidRDefault="00D208D0" w:rsidP="00260007">
            <w:pPr>
              <w:spacing w:line="240" w:lineRule="auto"/>
              <w:rPr>
                <w:sz w:val="24"/>
                <w:szCs w:val="24"/>
              </w:rPr>
            </w:pPr>
            <w:r w:rsidRPr="00623E3F">
              <w:rPr>
                <w:rFonts w:hint="eastAsia"/>
                <w:sz w:val="24"/>
                <w:szCs w:val="24"/>
              </w:rPr>
              <w:t>相关规定执行</w:t>
            </w:r>
          </w:p>
        </w:tc>
      </w:tr>
      <w:tr w:rsidR="00D208D0" w:rsidRPr="00623E3F" w:rsidTr="00260007">
        <w:trPr>
          <w:trHeight w:hRule="exact" w:val="537"/>
          <w:jc w:val="center"/>
        </w:trPr>
        <w:tc>
          <w:tcPr>
            <w:tcW w:w="1997" w:type="pct"/>
            <w:shd w:val="clear" w:color="auto" w:fill="auto"/>
            <w:noWrap/>
            <w:vAlign w:val="center"/>
          </w:tcPr>
          <w:p w:rsidR="00D208D0" w:rsidRPr="00623E3F" w:rsidRDefault="00D208D0" w:rsidP="00260007">
            <w:pPr>
              <w:spacing w:line="240" w:lineRule="auto"/>
              <w:ind w:firstLineChars="250" w:firstLine="600"/>
              <w:rPr>
                <w:sz w:val="24"/>
                <w:szCs w:val="24"/>
              </w:rPr>
            </w:pPr>
            <w:r w:rsidRPr="00623E3F">
              <w:rPr>
                <w:rFonts w:hint="eastAsia"/>
                <w:sz w:val="24"/>
                <w:szCs w:val="24"/>
              </w:rPr>
              <w:t>非产粮</w:t>
            </w:r>
            <w:r w:rsidRPr="00623E3F">
              <w:rPr>
                <w:sz w:val="24"/>
                <w:szCs w:val="24"/>
              </w:rPr>
              <w:t>大县</w:t>
            </w:r>
          </w:p>
        </w:tc>
        <w:tc>
          <w:tcPr>
            <w:tcW w:w="467" w:type="pct"/>
            <w:shd w:val="clear" w:color="auto" w:fill="auto"/>
            <w:noWrap/>
            <w:vAlign w:val="center"/>
          </w:tcPr>
          <w:p w:rsidR="00D208D0" w:rsidRPr="00623E3F" w:rsidRDefault="00D208D0" w:rsidP="00260007">
            <w:pPr>
              <w:spacing w:line="240" w:lineRule="auto"/>
              <w:rPr>
                <w:sz w:val="24"/>
                <w:szCs w:val="24"/>
              </w:rPr>
            </w:pPr>
            <w:r w:rsidRPr="00623E3F">
              <w:rPr>
                <w:rFonts w:hint="eastAsia"/>
                <w:sz w:val="24"/>
                <w:szCs w:val="24"/>
              </w:rPr>
              <w:t>45</w:t>
            </w:r>
            <w:r w:rsidRPr="00623E3F">
              <w:rPr>
                <w:sz w:val="24"/>
                <w:szCs w:val="24"/>
              </w:rPr>
              <w:t>%</w:t>
            </w:r>
          </w:p>
        </w:tc>
        <w:tc>
          <w:tcPr>
            <w:tcW w:w="440" w:type="pct"/>
            <w:shd w:val="clear" w:color="auto" w:fill="auto"/>
            <w:noWrap/>
            <w:vAlign w:val="center"/>
          </w:tcPr>
          <w:p w:rsidR="00D208D0" w:rsidRPr="00623E3F" w:rsidRDefault="00D208D0" w:rsidP="00260007">
            <w:pPr>
              <w:spacing w:line="240" w:lineRule="auto"/>
              <w:rPr>
                <w:sz w:val="24"/>
                <w:szCs w:val="24"/>
              </w:rPr>
            </w:pPr>
            <w:r w:rsidRPr="00623E3F">
              <w:rPr>
                <w:sz w:val="24"/>
                <w:szCs w:val="24"/>
              </w:rPr>
              <w:t>25%</w:t>
            </w:r>
          </w:p>
        </w:tc>
        <w:tc>
          <w:tcPr>
            <w:tcW w:w="467" w:type="pct"/>
            <w:shd w:val="clear" w:color="auto" w:fill="auto"/>
            <w:noWrap/>
            <w:vAlign w:val="center"/>
          </w:tcPr>
          <w:p w:rsidR="00D208D0" w:rsidRPr="00623E3F" w:rsidRDefault="00D208D0" w:rsidP="00260007">
            <w:pPr>
              <w:spacing w:line="240" w:lineRule="auto"/>
              <w:rPr>
                <w:sz w:val="24"/>
                <w:szCs w:val="24"/>
              </w:rPr>
            </w:pPr>
            <w:r w:rsidRPr="00623E3F">
              <w:rPr>
                <w:rFonts w:hint="eastAsia"/>
                <w:sz w:val="24"/>
                <w:szCs w:val="24"/>
              </w:rPr>
              <w:t>10</w:t>
            </w:r>
            <w:r w:rsidRPr="00623E3F">
              <w:rPr>
                <w:sz w:val="24"/>
                <w:szCs w:val="24"/>
              </w:rPr>
              <w:t>%</w:t>
            </w:r>
          </w:p>
        </w:tc>
        <w:tc>
          <w:tcPr>
            <w:tcW w:w="467" w:type="pct"/>
            <w:shd w:val="clear" w:color="auto" w:fill="auto"/>
            <w:noWrap/>
            <w:vAlign w:val="center"/>
          </w:tcPr>
          <w:p w:rsidR="00D208D0" w:rsidRPr="00623E3F" w:rsidRDefault="00D208D0" w:rsidP="00260007">
            <w:pPr>
              <w:spacing w:line="240" w:lineRule="auto"/>
              <w:rPr>
                <w:sz w:val="24"/>
                <w:szCs w:val="24"/>
              </w:rPr>
            </w:pPr>
            <w:r w:rsidRPr="00623E3F">
              <w:rPr>
                <w:rFonts w:hint="eastAsia"/>
                <w:sz w:val="24"/>
                <w:szCs w:val="24"/>
              </w:rPr>
              <w:t>20</w:t>
            </w:r>
            <w:r w:rsidRPr="00623E3F">
              <w:rPr>
                <w:sz w:val="24"/>
                <w:szCs w:val="24"/>
              </w:rPr>
              <w:t>%</w:t>
            </w:r>
          </w:p>
        </w:tc>
        <w:tc>
          <w:tcPr>
            <w:tcW w:w="1161" w:type="pct"/>
            <w:shd w:val="clear" w:color="auto" w:fill="auto"/>
            <w:vAlign w:val="center"/>
          </w:tcPr>
          <w:p w:rsidR="00D208D0" w:rsidRPr="00623E3F" w:rsidRDefault="00D208D0" w:rsidP="00260007">
            <w:pPr>
              <w:spacing w:line="240" w:lineRule="auto"/>
              <w:rPr>
                <w:sz w:val="24"/>
                <w:szCs w:val="24"/>
              </w:rPr>
            </w:pPr>
          </w:p>
        </w:tc>
      </w:tr>
    </w:tbl>
    <w:p w:rsidR="00D208D0" w:rsidRPr="00623E3F" w:rsidRDefault="00D208D0" w:rsidP="00D208D0">
      <w:pPr>
        <w:spacing w:line="578" w:lineRule="exact"/>
        <w:ind w:firstLineChars="200" w:firstLine="640"/>
      </w:pPr>
      <w:r w:rsidRPr="00623E3F">
        <w:rPr>
          <w:rFonts w:hint="eastAsia"/>
        </w:rPr>
        <w:t>（二）自</w:t>
      </w:r>
      <w:r w:rsidRPr="00623E3F">
        <w:rPr>
          <w:rFonts w:hint="eastAsia"/>
        </w:rPr>
        <w:t>2024</w:t>
      </w:r>
      <w:r w:rsidRPr="00623E3F">
        <w:rPr>
          <w:rFonts w:hint="eastAsia"/>
        </w:rPr>
        <w:t>年</w:t>
      </w:r>
      <w:r w:rsidRPr="00623E3F">
        <w:rPr>
          <w:rFonts w:hint="eastAsia"/>
        </w:rPr>
        <w:t>1</w:t>
      </w:r>
      <w:r w:rsidRPr="00623E3F">
        <w:rPr>
          <w:rFonts w:hint="eastAsia"/>
        </w:rPr>
        <w:t>月</w:t>
      </w:r>
      <w:r w:rsidRPr="00623E3F">
        <w:rPr>
          <w:rFonts w:hint="eastAsia"/>
        </w:rPr>
        <w:t>1</w:t>
      </w:r>
      <w:r w:rsidRPr="00623E3F">
        <w:rPr>
          <w:rFonts w:hint="eastAsia"/>
        </w:rPr>
        <w:t>日起至</w:t>
      </w:r>
      <w:r w:rsidRPr="00623E3F">
        <w:t>本通知印发之日止，</w:t>
      </w:r>
      <w:r w:rsidRPr="00623E3F">
        <w:rPr>
          <w:rFonts w:hint="eastAsia"/>
        </w:rPr>
        <w:t>对</w:t>
      </w:r>
      <w:r w:rsidRPr="00623E3F">
        <w:t>非产粮大县</w:t>
      </w:r>
      <w:r w:rsidRPr="00623E3F">
        <w:rPr>
          <w:rFonts w:hint="eastAsia"/>
        </w:rPr>
        <w:t>已实施</w:t>
      </w:r>
      <w:r w:rsidRPr="00623E3F">
        <w:t>的稻谷、玉米完全成本补充保险，</w:t>
      </w:r>
      <w:r w:rsidRPr="00623E3F">
        <w:rPr>
          <w:rFonts w:hint="eastAsia"/>
        </w:rPr>
        <w:t>其按照渝财金〔</w:t>
      </w:r>
      <w:r w:rsidRPr="00623E3F">
        <w:t>2024</w:t>
      </w:r>
      <w:r w:rsidRPr="00623E3F">
        <w:t>〕</w:t>
      </w:r>
      <w:r w:rsidRPr="00623E3F">
        <w:t>3</w:t>
      </w:r>
      <w:r w:rsidRPr="00623E3F">
        <w:t>号</w:t>
      </w:r>
      <w:r w:rsidRPr="00623E3F">
        <w:rPr>
          <w:rFonts w:hint="eastAsia"/>
        </w:rPr>
        <w:t>规定执行</w:t>
      </w:r>
      <w:r w:rsidRPr="00623E3F">
        <w:t>的保费承担比例</w:t>
      </w:r>
      <w:r w:rsidRPr="00623E3F">
        <w:rPr>
          <w:rFonts w:hint="eastAsia"/>
        </w:rPr>
        <w:t>，按照</w:t>
      </w:r>
      <w:r w:rsidRPr="00623E3F">
        <w:t>下表</w:t>
      </w:r>
      <w:r w:rsidRPr="00623E3F">
        <w:rPr>
          <w:rFonts w:hint="eastAsia"/>
        </w:rPr>
        <w:t>予以</w:t>
      </w:r>
      <w:r w:rsidRPr="00623E3F">
        <w:t>调整</w:t>
      </w:r>
      <w:r w:rsidRPr="00623E3F">
        <w:rPr>
          <w:rFonts w:hint="eastAsia"/>
        </w:rPr>
        <w:t>。</w:t>
      </w: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13"/>
        <w:gridCol w:w="950"/>
        <w:gridCol w:w="950"/>
        <w:gridCol w:w="950"/>
        <w:gridCol w:w="813"/>
        <w:gridCol w:w="950"/>
        <w:gridCol w:w="956"/>
      </w:tblGrid>
      <w:tr w:rsidR="00D208D0" w:rsidRPr="00623E3F" w:rsidTr="00260007">
        <w:trPr>
          <w:trHeight w:hRule="exact" w:val="618"/>
          <w:jc w:val="center"/>
        </w:trPr>
        <w:tc>
          <w:tcPr>
            <w:tcW w:w="1641" w:type="pct"/>
            <w:vMerge w:val="restart"/>
            <w:shd w:val="clear" w:color="auto" w:fill="auto"/>
            <w:noWrap/>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区县类型</w:t>
            </w:r>
          </w:p>
        </w:tc>
        <w:tc>
          <w:tcPr>
            <w:tcW w:w="1428" w:type="pct"/>
            <w:gridSpan w:val="3"/>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调整前保费承担比例</w:t>
            </w:r>
          </w:p>
        </w:tc>
        <w:tc>
          <w:tcPr>
            <w:tcW w:w="1931" w:type="pct"/>
            <w:gridSpan w:val="4"/>
            <w:shd w:val="clear" w:color="auto" w:fill="auto"/>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调整后保费承担比例</w:t>
            </w:r>
          </w:p>
        </w:tc>
      </w:tr>
      <w:tr w:rsidR="00D208D0" w:rsidRPr="00623E3F" w:rsidTr="00260007">
        <w:trPr>
          <w:trHeight w:hRule="exact" w:val="591"/>
          <w:jc w:val="center"/>
        </w:trPr>
        <w:tc>
          <w:tcPr>
            <w:tcW w:w="1641" w:type="pct"/>
            <w:vMerge/>
            <w:shd w:val="clear" w:color="auto" w:fill="auto"/>
            <w:noWrap/>
            <w:vAlign w:val="center"/>
          </w:tcPr>
          <w:p w:rsidR="00D208D0" w:rsidRPr="00623E3F" w:rsidRDefault="00D208D0" w:rsidP="00260007">
            <w:pPr>
              <w:spacing w:line="280" w:lineRule="exact"/>
              <w:jc w:val="center"/>
              <w:rPr>
                <w:rFonts w:eastAsia="方正黑体_GBK" w:hint="eastAsia"/>
                <w:sz w:val="24"/>
                <w:szCs w:val="24"/>
              </w:rPr>
            </w:pPr>
          </w:p>
        </w:tc>
        <w:tc>
          <w:tcPr>
            <w:tcW w:w="428" w:type="pct"/>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市</w:t>
            </w:r>
          </w:p>
        </w:tc>
        <w:tc>
          <w:tcPr>
            <w:tcW w:w="500" w:type="pct"/>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区县</w:t>
            </w:r>
          </w:p>
        </w:tc>
        <w:tc>
          <w:tcPr>
            <w:tcW w:w="500" w:type="pct"/>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农户</w:t>
            </w:r>
          </w:p>
        </w:tc>
        <w:tc>
          <w:tcPr>
            <w:tcW w:w="500" w:type="pct"/>
            <w:shd w:val="clear" w:color="auto" w:fill="auto"/>
            <w:noWrap/>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中央</w:t>
            </w:r>
          </w:p>
        </w:tc>
        <w:tc>
          <w:tcPr>
            <w:tcW w:w="428" w:type="pct"/>
            <w:shd w:val="clear" w:color="auto" w:fill="auto"/>
            <w:noWrap/>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市</w:t>
            </w:r>
          </w:p>
        </w:tc>
        <w:tc>
          <w:tcPr>
            <w:tcW w:w="500" w:type="pct"/>
            <w:shd w:val="clear" w:color="auto" w:fill="auto"/>
            <w:noWrap/>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区县</w:t>
            </w:r>
          </w:p>
        </w:tc>
        <w:tc>
          <w:tcPr>
            <w:tcW w:w="502" w:type="pct"/>
            <w:shd w:val="clear" w:color="auto" w:fill="auto"/>
            <w:noWrap/>
            <w:vAlign w:val="center"/>
          </w:tcPr>
          <w:p w:rsidR="00D208D0" w:rsidRPr="00623E3F" w:rsidRDefault="00D208D0" w:rsidP="00260007">
            <w:pPr>
              <w:spacing w:line="280" w:lineRule="exact"/>
              <w:jc w:val="center"/>
              <w:rPr>
                <w:rFonts w:eastAsia="方正黑体_GBK" w:hint="eastAsia"/>
                <w:sz w:val="24"/>
                <w:szCs w:val="24"/>
              </w:rPr>
            </w:pPr>
            <w:r w:rsidRPr="00623E3F">
              <w:rPr>
                <w:rFonts w:eastAsia="方正黑体_GBK" w:hint="eastAsia"/>
                <w:sz w:val="24"/>
                <w:szCs w:val="24"/>
              </w:rPr>
              <w:t>农户</w:t>
            </w:r>
          </w:p>
        </w:tc>
      </w:tr>
      <w:tr w:rsidR="00D208D0" w:rsidRPr="00623E3F" w:rsidTr="00260007">
        <w:trPr>
          <w:trHeight w:hRule="exact" w:val="591"/>
          <w:jc w:val="center"/>
        </w:trPr>
        <w:tc>
          <w:tcPr>
            <w:tcW w:w="1641" w:type="pct"/>
            <w:shd w:val="clear" w:color="auto" w:fill="auto"/>
            <w:vAlign w:val="center"/>
          </w:tcPr>
          <w:p w:rsidR="00D208D0" w:rsidRPr="00623E3F" w:rsidRDefault="00D208D0" w:rsidP="00260007">
            <w:pPr>
              <w:spacing w:line="280" w:lineRule="exact"/>
              <w:rPr>
                <w:sz w:val="24"/>
                <w:szCs w:val="24"/>
              </w:rPr>
            </w:pPr>
            <w:r w:rsidRPr="00623E3F">
              <w:rPr>
                <w:rFonts w:hint="eastAsia"/>
                <w:sz w:val="24"/>
                <w:szCs w:val="24"/>
              </w:rPr>
              <w:t>非产粮大县</w:t>
            </w:r>
          </w:p>
        </w:tc>
        <w:tc>
          <w:tcPr>
            <w:tcW w:w="428" w:type="pct"/>
            <w:vAlign w:val="center"/>
          </w:tcPr>
          <w:p w:rsidR="00D208D0" w:rsidRPr="00623E3F" w:rsidRDefault="00D208D0" w:rsidP="00260007">
            <w:pPr>
              <w:spacing w:line="280" w:lineRule="exact"/>
              <w:jc w:val="center"/>
              <w:rPr>
                <w:sz w:val="24"/>
                <w:szCs w:val="24"/>
              </w:rPr>
            </w:pPr>
          </w:p>
        </w:tc>
        <w:tc>
          <w:tcPr>
            <w:tcW w:w="500" w:type="pct"/>
            <w:vAlign w:val="center"/>
          </w:tcPr>
          <w:p w:rsidR="00D208D0" w:rsidRPr="00623E3F" w:rsidRDefault="00D208D0" w:rsidP="00260007">
            <w:pPr>
              <w:spacing w:line="280" w:lineRule="exact"/>
              <w:jc w:val="center"/>
              <w:rPr>
                <w:sz w:val="24"/>
                <w:szCs w:val="24"/>
              </w:rPr>
            </w:pPr>
          </w:p>
        </w:tc>
        <w:tc>
          <w:tcPr>
            <w:tcW w:w="500" w:type="pct"/>
            <w:vAlign w:val="center"/>
          </w:tcPr>
          <w:p w:rsidR="00D208D0" w:rsidRPr="00623E3F" w:rsidRDefault="00D208D0" w:rsidP="00260007">
            <w:pPr>
              <w:spacing w:line="280" w:lineRule="exact"/>
              <w:jc w:val="center"/>
              <w:rPr>
                <w:sz w:val="24"/>
                <w:szCs w:val="24"/>
              </w:rPr>
            </w:pPr>
          </w:p>
        </w:tc>
        <w:tc>
          <w:tcPr>
            <w:tcW w:w="500" w:type="pct"/>
            <w:shd w:val="clear" w:color="auto" w:fill="auto"/>
            <w:vAlign w:val="center"/>
          </w:tcPr>
          <w:p w:rsidR="00D208D0" w:rsidRPr="00623E3F" w:rsidRDefault="00D208D0" w:rsidP="00260007">
            <w:pPr>
              <w:spacing w:line="280" w:lineRule="exact"/>
              <w:jc w:val="center"/>
              <w:rPr>
                <w:sz w:val="24"/>
                <w:szCs w:val="24"/>
              </w:rPr>
            </w:pPr>
          </w:p>
        </w:tc>
        <w:tc>
          <w:tcPr>
            <w:tcW w:w="428" w:type="pct"/>
            <w:shd w:val="clear" w:color="auto" w:fill="auto"/>
            <w:vAlign w:val="center"/>
          </w:tcPr>
          <w:p w:rsidR="00D208D0" w:rsidRPr="00623E3F" w:rsidRDefault="00D208D0" w:rsidP="00260007">
            <w:pPr>
              <w:spacing w:line="280" w:lineRule="exact"/>
              <w:jc w:val="center"/>
              <w:rPr>
                <w:sz w:val="24"/>
                <w:szCs w:val="24"/>
              </w:rPr>
            </w:pPr>
          </w:p>
        </w:tc>
        <w:tc>
          <w:tcPr>
            <w:tcW w:w="500" w:type="pct"/>
            <w:shd w:val="clear" w:color="auto" w:fill="auto"/>
            <w:vAlign w:val="center"/>
          </w:tcPr>
          <w:p w:rsidR="00D208D0" w:rsidRPr="00623E3F" w:rsidRDefault="00D208D0" w:rsidP="00260007">
            <w:pPr>
              <w:spacing w:line="280" w:lineRule="exact"/>
              <w:jc w:val="center"/>
              <w:rPr>
                <w:sz w:val="24"/>
                <w:szCs w:val="24"/>
              </w:rPr>
            </w:pPr>
          </w:p>
        </w:tc>
        <w:tc>
          <w:tcPr>
            <w:tcW w:w="502" w:type="pct"/>
            <w:shd w:val="clear" w:color="auto" w:fill="auto"/>
            <w:vAlign w:val="center"/>
          </w:tcPr>
          <w:p w:rsidR="00D208D0" w:rsidRPr="00623E3F" w:rsidRDefault="00D208D0" w:rsidP="00260007">
            <w:pPr>
              <w:spacing w:line="280" w:lineRule="exact"/>
              <w:jc w:val="center"/>
              <w:rPr>
                <w:sz w:val="24"/>
                <w:szCs w:val="24"/>
              </w:rPr>
            </w:pPr>
          </w:p>
        </w:tc>
      </w:tr>
      <w:tr w:rsidR="00D208D0" w:rsidRPr="00623E3F" w:rsidTr="00260007">
        <w:trPr>
          <w:trHeight w:hRule="exact" w:val="591"/>
          <w:jc w:val="center"/>
        </w:trPr>
        <w:tc>
          <w:tcPr>
            <w:tcW w:w="1641" w:type="pct"/>
            <w:shd w:val="clear" w:color="auto" w:fill="auto"/>
            <w:vAlign w:val="center"/>
          </w:tcPr>
          <w:p w:rsidR="00D208D0" w:rsidRPr="00623E3F" w:rsidRDefault="00D208D0" w:rsidP="00260007">
            <w:pPr>
              <w:spacing w:line="280" w:lineRule="exact"/>
              <w:rPr>
                <w:sz w:val="24"/>
                <w:szCs w:val="24"/>
              </w:rPr>
            </w:pPr>
            <w:r w:rsidRPr="00623E3F">
              <w:rPr>
                <w:rFonts w:hint="eastAsia"/>
                <w:sz w:val="24"/>
                <w:szCs w:val="24"/>
              </w:rPr>
              <w:t>（</w:t>
            </w:r>
            <w:r w:rsidRPr="00623E3F">
              <w:rPr>
                <w:rFonts w:hint="eastAsia"/>
                <w:sz w:val="24"/>
                <w:szCs w:val="24"/>
              </w:rPr>
              <w:t>1</w:t>
            </w:r>
            <w:r w:rsidRPr="00623E3F">
              <w:rPr>
                <w:rFonts w:hint="eastAsia"/>
                <w:sz w:val="24"/>
                <w:szCs w:val="24"/>
              </w:rPr>
              <w:t>）国家乡村振兴帮扶县</w:t>
            </w:r>
          </w:p>
        </w:tc>
        <w:tc>
          <w:tcPr>
            <w:tcW w:w="428" w:type="pct"/>
            <w:vMerge w:val="restart"/>
            <w:vAlign w:val="center"/>
          </w:tcPr>
          <w:p w:rsidR="00D208D0" w:rsidRPr="00623E3F" w:rsidRDefault="00D208D0" w:rsidP="00260007">
            <w:pPr>
              <w:spacing w:line="280" w:lineRule="exact"/>
              <w:jc w:val="center"/>
              <w:rPr>
                <w:sz w:val="24"/>
                <w:szCs w:val="24"/>
              </w:rPr>
            </w:pPr>
            <w:r w:rsidRPr="00623E3F">
              <w:rPr>
                <w:rFonts w:hint="eastAsia"/>
                <w:sz w:val="24"/>
                <w:szCs w:val="24"/>
              </w:rPr>
              <w:t>50</w:t>
            </w:r>
            <w:r w:rsidRPr="00623E3F">
              <w:rPr>
                <w:sz w:val="24"/>
                <w:szCs w:val="24"/>
              </w:rPr>
              <w:t>%</w:t>
            </w:r>
          </w:p>
        </w:tc>
        <w:tc>
          <w:tcPr>
            <w:tcW w:w="500" w:type="pct"/>
            <w:vMerge w:val="restart"/>
            <w:vAlign w:val="center"/>
          </w:tcPr>
          <w:p w:rsidR="00D208D0" w:rsidRPr="00623E3F" w:rsidRDefault="00D208D0" w:rsidP="00260007">
            <w:pPr>
              <w:spacing w:line="280" w:lineRule="exact"/>
              <w:jc w:val="center"/>
              <w:rPr>
                <w:sz w:val="24"/>
                <w:szCs w:val="24"/>
              </w:rPr>
            </w:pPr>
            <w:r w:rsidRPr="00623E3F">
              <w:rPr>
                <w:rFonts w:hint="eastAsia"/>
                <w:sz w:val="24"/>
                <w:szCs w:val="24"/>
              </w:rPr>
              <w:t>30</w:t>
            </w:r>
            <w:r w:rsidRPr="00623E3F">
              <w:rPr>
                <w:sz w:val="24"/>
                <w:szCs w:val="24"/>
              </w:rPr>
              <w:t>%</w:t>
            </w:r>
          </w:p>
        </w:tc>
        <w:tc>
          <w:tcPr>
            <w:tcW w:w="500" w:type="pct"/>
            <w:vMerge w:val="restart"/>
            <w:vAlign w:val="center"/>
          </w:tcPr>
          <w:p w:rsidR="00D208D0" w:rsidRPr="00623E3F" w:rsidRDefault="00D208D0" w:rsidP="00260007">
            <w:pPr>
              <w:spacing w:line="280" w:lineRule="exact"/>
              <w:jc w:val="center"/>
              <w:rPr>
                <w:sz w:val="24"/>
                <w:szCs w:val="24"/>
              </w:rPr>
            </w:pPr>
            <w:r w:rsidRPr="00623E3F">
              <w:rPr>
                <w:rFonts w:hint="eastAsia"/>
                <w:sz w:val="24"/>
                <w:szCs w:val="24"/>
              </w:rPr>
              <w:t>20</w:t>
            </w:r>
            <w:r w:rsidRPr="00623E3F">
              <w:rPr>
                <w:sz w:val="24"/>
                <w:szCs w:val="24"/>
              </w:rPr>
              <w:t>%</w:t>
            </w:r>
          </w:p>
        </w:tc>
        <w:tc>
          <w:tcPr>
            <w:tcW w:w="500" w:type="pct"/>
            <w:shd w:val="clear" w:color="auto" w:fill="auto"/>
            <w:vAlign w:val="center"/>
          </w:tcPr>
          <w:p w:rsidR="00D208D0" w:rsidRPr="00623E3F" w:rsidRDefault="00D208D0" w:rsidP="00260007">
            <w:pPr>
              <w:spacing w:line="280" w:lineRule="exact"/>
              <w:jc w:val="center"/>
              <w:rPr>
                <w:sz w:val="24"/>
                <w:szCs w:val="24"/>
              </w:rPr>
            </w:pPr>
            <w:r w:rsidRPr="00623E3F">
              <w:rPr>
                <w:rFonts w:hint="eastAsia"/>
                <w:sz w:val="24"/>
                <w:szCs w:val="24"/>
              </w:rPr>
              <w:t>45</w:t>
            </w:r>
            <w:r w:rsidRPr="00623E3F">
              <w:rPr>
                <w:sz w:val="24"/>
                <w:szCs w:val="24"/>
              </w:rPr>
              <w:t>%</w:t>
            </w:r>
          </w:p>
        </w:tc>
        <w:tc>
          <w:tcPr>
            <w:tcW w:w="428" w:type="pct"/>
            <w:shd w:val="clear" w:color="auto" w:fill="auto"/>
            <w:vAlign w:val="center"/>
          </w:tcPr>
          <w:p w:rsidR="00D208D0" w:rsidRPr="00623E3F" w:rsidRDefault="00D208D0" w:rsidP="00260007">
            <w:pPr>
              <w:spacing w:line="280" w:lineRule="exact"/>
              <w:jc w:val="center"/>
              <w:rPr>
                <w:sz w:val="24"/>
                <w:szCs w:val="24"/>
              </w:rPr>
            </w:pPr>
            <w:r w:rsidRPr="00623E3F">
              <w:rPr>
                <w:rFonts w:hint="eastAsia"/>
                <w:sz w:val="24"/>
                <w:szCs w:val="24"/>
              </w:rPr>
              <w:t>35</w:t>
            </w:r>
            <w:r w:rsidRPr="00623E3F">
              <w:rPr>
                <w:sz w:val="24"/>
                <w:szCs w:val="24"/>
              </w:rPr>
              <w:t>%</w:t>
            </w:r>
          </w:p>
        </w:tc>
        <w:tc>
          <w:tcPr>
            <w:tcW w:w="500" w:type="pct"/>
            <w:shd w:val="clear" w:color="auto" w:fill="auto"/>
            <w:vAlign w:val="center"/>
          </w:tcPr>
          <w:p w:rsidR="00D208D0" w:rsidRPr="00623E3F" w:rsidRDefault="00D208D0" w:rsidP="00260007">
            <w:pPr>
              <w:spacing w:line="280" w:lineRule="exact"/>
              <w:jc w:val="center"/>
              <w:rPr>
                <w:sz w:val="24"/>
                <w:szCs w:val="24"/>
              </w:rPr>
            </w:pPr>
            <w:r w:rsidRPr="00623E3F">
              <w:rPr>
                <w:rFonts w:hint="eastAsia"/>
                <w:sz w:val="24"/>
                <w:szCs w:val="24"/>
              </w:rPr>
              <w:t>5</w:t>
            </w:r>
            <w:r w:rsidRPr="00623E3F">
              <w:rPr>
                <w:sz w:val="24"/>
                <w:szCs w:val="24"/>
              </w:rPr>
              <w:t>%</w:t>
            </w:r>
          </w:p>
        </w:tc>
        <w:tc>
          <w:tcPr>
            <w:tcW w:w="502" w:type="pct"/>
            <w:shd w:val="clear" w:color="auto" w:fill="auto"/>
            <w:vAlign w:val="center"/>
          </w:tcPr>
          <w:p w:rsidR="00D208D0" w:rsidRPr="00623E3F" w:rsidRDefault="00D208D0" w:rsidP="00260007">
            <w:pPr>
              <w:spacing w:line="280" w:lineRule="exact"/>
              <w:jc w:val="center"/>
              <w:rPr>
                <w:sz w:val="24"/>
                <w:szCs w:val="24"/>
              </w:rPr>
            </w:pPr>
            <w:r w:rsidRPr="00623E3F">
              <w:rPr>
                <w:rFonts w:hint="eastAsia"/>
                <w:sz w:val="24"/>
                <w:szCs w:val="24"/>
              </w:rPr>
              <w:t>15</w:t>
            </w:r>
            <w:r w:rsidRPr="00623E3F">
              <w:rPr>
                <w:sz w:val="24"/>
                <w:szCs w:val="24"/>
              </w:rPr>
              <w:t>%</w:t>
            </w:r>
          </w:p>
        </w:tc>
      </w:tr>
      <w:tr w:rsidR="00D208D0" w:rsidRPr="00623E3F" w:rsidTr="00260007">
        <w:trPr>
          <w:trHeight w:hRule="exact" w:val="591"/>
          <w:jc w:val="center"/>
        </w:trPr>
        <w:tc>
          <w:tcPr>
            <w:tcW w:w="1641" w:type="pct"/>
            <w:shd w:val="clear" w:color="auto" w:fill="auto"/>
            <w:noWrap/>
            <w:vAlign w:val="center"/>
          </w:tcPr>
          <w:p w:rsidR="00D208D0" w:rsidRPr="00623E3F" w:rsidRDefault="00D208D0" w:rsidP="00260007">
            <w:pPr>
              <w:spacing w:line="280" w:lineRule="exact"/>
              <w:rPr>
                <w:sz w:val="24"/>
                <w:szCs w:val="24"/>
              </w:rPr>
            </w:pPr>
            <w:r w:rsidRPr="00623E3F">
              <w:rPr>
                <w:rFonts w:hint="eastAsia"/>
                <w:sz w:val="24"/>
                <w:szCs w:val="24"/>
              </w:rPr>
              <w:t>（</w:t>
            </w:r>
            <w:r w:rsidRPr="00623E3F">
              <w:rPr>
                <w:rFonts w:hint="eastAsia"/>
                <w:sz w:val="24"/>
                <w:szCs w:val="24"/>
              </w:rPr>
              <w:t>2</w:t>
            </w:r>
            <w:r w:rsidRPr="00623E3F">
              <w:rPr>
                <w:rFonts w:hint="eastAsia"/>
                <w:sz w:val="24"/>
                <w:szCs w:val="24"/>
              </w:rPr>
              <w:t>）其他</w:t>
            </w:r>
            <w:r w:rsidRPr="00623E3F">
              <w:rPr>
                <w:sz w:val="24"/>
                <w:szCs w:val="24"/>
              </w:rPr>
              <w:t>区县</w:t>
            </w:r>
          </w:p>
        </w:tc>
        <w:tc>
          <w:tcPr>
            <w:tcW w:w="428" w:type="pct"/>
            <w:vMerge/>
            <w:vAlign w:val="center"/>
          </w:tcPr>
          <w:p w:rsidR="00D208D0" w:rsidRPr="00623E3F" w:rsidRDefault="00D208D0" w:rsidP="00260007">
            <w:pPr>
              <w:spacing w:line="280" w:lineRule="exact"/>
              <w:jc w:val="center"/>
              <w:rPr>
                <w:sz w:val="24"/>
                <w:szCs w:val="24"/>
              </w:rPr>
            </w:pPr>
          </w:p>
        </w:tc>
        <w:tc>
          <w:tcPr>
            <w:tcW w:w="500" w:type="pct"/>
            <w:vMerge/>
            <w:vAlign w:val="center"/>
          </w:tcPr>
          <w:p w:rsidR="00D208D0" w:rsidRPr="00623E3F" w:rsidRDefault="00D208D0" w:rsidP="00260007">
            <w:pPr>
              <w:spacing w:line="280" w:lineRule="exact"/>
              <w:jc w:val="center"/>
              <w:rPr>
                <w:sz w:val="24"/>
                <w:szCs w:val="24"/>
              </w:rPr>
            </w:pPr>
          </w:p>
        </w:tc>
        <w:tc>
          <w:tcPr>
            <w:tcW w:w="500" w:type="pct"/>
            <w:vMerge/>
            <w:vAlign w:val="center"/>
          </w:tcPr>
          <w:p w:rsidR="00D208D0" w:rsidRPr="00623E3F" w:rsidRDefault="00D208D0" w:rsidP="00260007">
            <w:pPr>
              <w:spacing w:line="280" w:lineRule="exact"/>
              <w:jc w:val="center"/>
              <w:rPr>
                <w:sz w:val="24"/>
                <w:szCs w:val="24"/>
              </w:rPr>
            </w:pPr>
          </w:p>
        </w:tc>
        <w:tc>
          <w:tcPr>
            <w:tcW w:w="500" w:type="pct"/>
            <w:shd w:val="clear" w:color="auto" w:fill="auto"/>
            <w:noWrap/>
            <w:vAlign w:val="center"/>
          </w:tcPr>
          <w:p w:rsidR="00D208D0" w:rsidRPr="00623E3F" w:rsidRDefault="00D208D0" w:rsidP="00260007">
            <w:pPr>
              <w:spacing w:line="280" w:lineRule="exact"/>
              <w:jc w:val="center"/>
              <w:rPr>
                <w:sz w:val="24"/>
                <w:szCs w:val="24"/>
              </w:rPr>
            </w:pPr>
            <w:r w:rsidRPr="00623E3F">
              <w:rPr>
                <w:rFonts w:hint="eastAsia"/>
                <w:sz w:val="24"/>
                <w:szCs w:val="24"/>
              </w:rPr>
              <w:t>45</w:t>
            </w:r>
            <w:r w:rsidRPr="00623E3F">
              <w:rPr>
                <w:sz w:val="24"/>
                <w:szCs w:val="24"/>
              </w:rPr>
              <w:t>%</w:t>
            </w:r>
          </w:p>
        </w:tc>
        <w:tc>
          <w:tcPr>
            <w:tcW w:w="428" w:type="pct"/>
            <w:shd w:val="clear" w:color="auto" w:fill="auto"/>
            <w:noWrap/>
            <w:vAlign w:val="center"/>
          </w:tcPr>
          <w:p w:rsidR="00D208D0" w:rsidRPr="00623E3F" w:rsidRDefault="00D208D0" w:rsidP="00260007">
            <w:pPr>
              <w:spacing w:line="280" w:lineRule="exact"/>
              <w:jc w:val="center"/>
              <w:rPr>
                <w:sz w:val="24"/>
                <w:szCs w:val="24"/>
              </w:rPr>
            </w:pPr>
            <w:r w:rsidRPr="00623E3F">
              <w:rPr>
                <w:rFonts w:hint="eastAsia"/>
                <w:sz w:val="24"/>
                <w:szCs w:val="24"/>
              </w:rPr>
              <w:t>25</w:t>
            </w:r>
            <w:r w:rsidRPr="00623E3F">
              <w:rPr>
                <w:sz w:val="24"/>
                <w:szCs w:val="24"/>
              </w:rPr>
              <w:t>%</w:t>
            </w:r>
          </w:p>
        </w:tc>
        <w:tc>
          <w:tcPr>
            <w:tcW w:w="500" w:type="pct"/>
            <w:shd w:val="clear" w:color="auto" w:fill="auto"/>
            <w:noWrap/>
            <w:vAlign w:val="center"/>
          </w:tcPr>
          <w:p w:rsidR="00D208D0" w:rsidRPr="00623E3F" w:rsidRDefault="00D208D0" w:rsidP="00260007">
            <w:pPr>
              <w:spacing w:line="280" w:lineRule="exact"/>
              <w:jc w:val="center"/>
              <w:rPr>
                <w:sz w:val="24"/>
                <w:szCs w:val="24"/>
              </w:rPr>
            </w:pPr>
            <w:r w:rsidRPr="00623E3F">
              <w:rPr>
                <w:rFonts w:hint="eastAsia"/>
                <w:sz w:val="24"/>
                <w:szCs w:val="24"/>
              </w:rPr>
              <w:t>10</w:t>
            </w:r>
            <w:r w:rsidRPr="00623E3F">
              <w:rPr>
                <w:sz w:val="24"/>
                <w:szCs w:val="24"/>
              </w:rPr>
              <w:t>%</w:t>
            </w:r>
          </w:p>
        </w:tc>
        <w:tc>
          <w:tcPr>
            <w:tcW w:w="502" w:type="pct"/>
            <w:shd w:val="clear" w:color="auto" w:fill="auto"/>
            <w:noWrap/>
            <w:vAlign w:val="center"/>
          </w:tcPr>
          <w:p w:rsidR="00D208D0" w:rsidRPr="00623E3F" w:rsidRDefault="00D208D0" w:rsidP="00260007">
            <w:pPr>
              <w:spacing w:line="280" w:lineRule="exact"/>
              <w:jc w:val="center"/>
              <w:rPr>
                <w:sz w:val="24"/>
                <w:szCs w:val="24"/>
              </w:rPr>
            </w:pPr>
            <w:r w:rsidRPr="00623E3F">
              <w:rPr>
                <w:rFonts w:hint="eastAsia"/>
                <w:sz w:val="24"/>
                <w:szCs w:val="24"/>
              </w:rPr>
              <w:t>20</w:t>
            </w:r>
            <w:r w:rsidRPr="00623E3F">
              <w:rPr>
                <w:sz w:val="24"/>
                <w:szCs w:val="24"/>
              </w:rPr>
              <w:t>%</w:t>
            </w:r>
          </w:p>
        </w:tc>
      </w:tr>
    </w:tbl>
    <w:p w:rsidR="00D208D0" w:rsidRPr="00623E3F" w:rsidRDefault="00D208D0" w:rsidP="00D208D0">
      <w:pPr>
        <w:spacing w:line="578" w:lineRule="exact"/>
        <w:ind w:firstLineChars="200" w:firstLine="640"/>
      </w:pPr>
      <w:r w:rsidRPr="00623E3F">
        <w:rPr>
          <w:rFonts w:hint="eastAsia"/>
        </w:rPr>
        <w:t>对</w:t>
      </w:r>
      <w:r w:rsidRPr="00623E3F">
        <w:t>脱贫户、监测户</w:t>
      </w:r>
      <w:r w:rsidRPr="00623E3F">
        <w:rPr>
          <w:rFonts w:hint="eastAsia"/>
        </w:rPr>
        <w:t>投保三大</w:t>
      </w:r>
      <w:r w:rsidRPr="00623E3F">
        <w:t>粮食作物完全成本</w:t>
      </w:r>
      <w:r w:rsidRPr="00623E3F">
        <w:rPr>
          <w:rFonts w:hint="eastAsia"/>
        </w:rPr>
        <w:t>保险</w:t>
      </w:r>
      <w:r w:rsidRPr="00623E3F">
        <w:t>的，</w:t>
      </w:r>
      <w:r w:rsidRPr="00623E3F">
        <w:rPr>
          <w:rFonts w:hint="eastAsia"/>
        </w:rPr>
        <w:t>市财政补贴</w:t>
      </w:r>
      <w:r w:rsidRPr="00623E3F">
        <w:t>比例</w:t>
      </w:r>
      <w:r w:rsidRPr="00623E3F">
        <w:rPr>
          <w:rFonts w:hint="eastAsia"/>
        </w:rPr>
        <w:t>提高</w:t>
      </w:r>
      <w:r w:rsidRPr="00623E3F">
        <w:t>5%</w:t>
      </w:r>
      <w:r w:rsidRPr="00623E3F">
        <w:t>，相应降低脱贫户、监测户</w:t>
      </w:r>
      <w:r w:rsidRPr="00623E3F">
        <w:rPr>
          <w:rFonts w:hint="eastAsia"/>
        </w:rPr>
        <w:t>缴费</w:t>
      </w:r>
      <w:r w:rsidRPr="00623E3F">
        <w:t>比例。鼓励有条件的区县统筹</w:t>
      </w:r>
      <w:r w:rsidRPr="00623E3F">
        <w:rPr>
          <w:rFonts w:hint="eastAsia"/>
        </w:rPr>
        <w:t>财政</w:t>
      </w:r>
      <w:r w:rsidRPr="00623E3F">
        <w:t>资金、社会捐赠资金等，对农户自缴保费给予适当补贴。</w:t>
      </w:r>
    </w:p>
    <w:p w:rsidR="00D208D0" w:rsidRPr="00623E3F" w:rsidRDefault="00D208D0" w:rsidP="00D208D0">
      <w:pPr>
        <w:spacing w:line="578" w:lineRule="exact"/>
        <w:ind w:firstLineChars="200" w:firstLine="640"/>
        <w:rPr>
          <w:rFonts w:eastAsia="方正黑体_GBK" w:hint="eastAsia"/>
        </w:rPr>
      </w:pPr>
      <w:r w:rsidRPr="00623E3F">
        <w:rPr>
          <w:rFonts w:eastAsia="方正黑体_GBK" w:hint="eastAsia"/>
        </w:rPr>
        <w:t>三、其他事项</w:t>
      </w:r>
    </w:p>
    <w:p w:rsidR="00D208D0" w:rsidRPr="00623E3F" w:rsidRDefault="00D208D0" w:rsidP="00D208D0">
      <w:pPr>
        <w:spacing w:line="578" w:lineRule="exact"/>
        <w:ind w:firstLineChars="200" w:firstLine="640"/>
      </w:pPr>
      <w:r w:rsidRPr="00623E3F">
        <w:rPr>
          <w:rFonts w:hint="eastAsia"/>
        </w:rPr>
        <w:t>（一）贯彻落实渝财金〔</w:t>
      </w:r>
      <w:r w:rsidRPr="00623E3F">
        <w:t>2024</w:t>
      </w:r>
      <w:r w:rsidRPr="00623E3F">
        <w:rPr>
          <w:rFonts w:hint="eastAsia"/>
        </w:rPr>
        <w:t>〕</w:t>
      </w:r>
      <w:r w:rsidRPr="00623E3F">
        <w:t>3</w:t>
      </w:r>
      <w:r w:rsidRPr="00623E3F">
        <w:rPr>
          <w:rFonts w:hint="eastAsia"/>
        </w:rPr>
        <w:t>号有关规定。各区县财政</w:t>
      </w:r>
      <w:r w:rsidRPr="00623E3F">
        <w:t>、农业农村</w:t>
      </w:r>
      <w:r w:rsidRPr="00623E3F">
        <w:rPr>
          <w:rFonts w:hint="eastAsia"/>
        </w:rPr>
        <w:t>、保险</w:t>
      </w:r>
      <w:r w:rsidRPr="00623E3F">
        <w:t>监管等部门</w:t>
      </w:r>
      <w:r w:rsidRPr="00623E3F">
        <w:rPr>
          <w:rFonts w:hint="eastAsia"/>
        </w:rPr>
        <w:t>和</w:t>
      </w:r>
      <w:r w:rsidRPr="00623E3F">
        <w:t>承保机构</w:t>
      </w:r>
      <w:r w:rsidRPr="00623E3F">
        <w:rPr>
          <w:rFonts w:hint="eastAsia"/>
        </w:rPr>
        <w:t>要统筹</w:t>
      </w:r>
      <w:r w:rsidRPr="00623E3F">
        <w:t>规划、各司其责、协同推进</w:t>
      </w:r>
      <w:r w:rsidRPr="00623E3F">
        <w:rPr>
          <w:rFonts w:hint="eastAsia"/>
        </w:rPr>
        <w:t>相关</w:t>
      </w:r>
      <w:r w:rsidRPr="00623E3F">
        <w:t>工作</w:t>
      </w:r>
      <w:r w:rsidRPr="00623E3F">
        <w:rPr>
          <w:rFonts w:hint="eastAsia"/>
        </w:rPr>
        <w:t>，明确保障</w:t>
      </w:r>
      <w:r w:rsidRPr="00623E3F">
        <w:t>对象、</w:t>
      </w:r>
      <w:r w:rsidRPr="00623E3F">
        <w:rPr>
          <w:rFonts w:hint="eastAsia"/>
        </w:rPr>
        <w:t>保险</w:t>
      </w:r>
      <w:r w:rsidRPr="00623E3F">
        <w:t>标准、</w:t>
      </w:r>
      <w:r w:rsidRPr="00623E3F">
        <w:rPr>
          <w:rFonts w:hint="eastAsia"/>
        </w:rPr>
        <w:t>承保机构</w:t>
      </w:r>
      <w:r w:rsidRPr="00623E3F">
        <w:t>以及承保理赔</w:t>
      </w:r>
      <w:r w:rsidRPr="00623E3F">
        <w:rPr>
          <w:rFonts w:hint="eastAsia"/>
        </w:rPr>
        <w:t>服务等事项。各区县财政部门要会同</w:t>
      </w:r>
      <w:r w:rsidRPr="00623E3F">
        <w:t>农业农村</w:t>
      </w:r>
      <w:r w:rsidRPr="00623E3F">
        <w:rPr>
          <w:rFonts w:hint="eastAsia"/>
        </w:rPr>
        <w:t>、</w:t>
      </w:r>
      <w:r w:rsidRPr="00623E3F">
        <w:t>保险监管等部门，</w:t>
      </w:r>
      <w:r w:rsidRPr="00623E3F">
        <w:rPr>
          <w:rFonts w:hint="eastAsia"/>
        </w:rPr>
        <w:t>要加强</w:t>
      </w:r>
      <w:r w:rsidRPr="00623E3F">
        <w:t>工作</w:t>
      </w:r>
      <w:r w:rsidRPr="00623E3F">
        <w:rPr>
          <w:rFonts w:hint="eastAsia"/>
        </w:rPr>
        <w:t>指导</w:t>
      </w:r>
      <w:r w:rsidRPr="00623E3F">
        <w:t>、</w:t>
      </w:r>
      <w:r w:rsidRPr="00623E3F">
        <w:rPr>
          <w:rFonts w:hint="eastAsia"/>
        </w:rPr>
        <w:t>督导</w:t>
      </w:r>
      <w:r w:rsidRPr="00623E3F">
        <w:t>和</w:t>
      </w:r>
      <w:r w:rsidRPr="00623E3F">
        <w:rPr>
          <w:rFonts w:hint="eastAsia"/>
        </w:rPr>
        <w:t>检查</w:t>
      </w:r>
      <w:r w:rsidRPr="00623E3F">
        <w:t>，</w:t>
      </w:r>
      <w:r w:rsidRPr="00623E3F">
        <w:rPr>
          <w:rFonts w:hint="eastAsia"/>
        </w:rPr>
        <w:t>强化农业保险保费补贴</w:t>
      </w:r>
      <w:r w:rsidRPr="00623E3F">
        <w:t>资金</w:t>
      </w:r>
      <w:r w:rsidRPr="00623E3F">
        <w:rPr>
          <w:rFonts w:hint="eastAsia"/>
        </w:rPr>
        <w:t>管理，坚决</w:t>
      </w:r>
      <w:r w:rsidRPr="00623E3F">
        <w:t>防止出现虚报冒领、骗取、套取财政保费补贴资金的行为</w:t>
      </w:r>
      <w:r w:rsidRPr="00623E3F">
        <w:rPr>
          <w:rFonts w:hint="eastAsia"/>
        </w:rPr>
        <w:t>。各</w:t>
      </w:r>
      <w:r w:rsidRPr="00623E3F">
        <w:t>承保机构</w:t>
      </w:r>
      <w:r w:rsidRPr="00623E3F">
        <w:rPr>
          <w:rFonts w:hint="eastAsia"/>
        </w:rPr>
        <w:t>要</w:t>
      </w:r>
      <w:r w:rsidRPr="00623E3F">
        <w:t>规范</w:t>
      </w:r>
      <w:r w:rsidRPr="00623E3F">
        <w:rPr>
          <w:rFonts w:hint="eastAsia"/>
        </w:rPr>
        <w:t>承保经营</w:t>
      </w:r>
      <w:r w:rsidRPr="00623E3F">
        <w:t>行为</w:t>
      </w:r>
      <w:r w:rsidRPr="00623E3F">
        <w:rPr>
          <w:rFonts w:hint="eastAsia"/>
        </w:rPr>
        <w:t>，应以</w:t>
      </w:r>
      <w:r w:rsidRPr="00623E3F">
        <w:t>当地农业农村部门提供农作物生产面积为参照，</w:t>
      </w:r>
      <w:r w:rsidRPr="00623E3F">
        <w:rPr>
          <w:rFonts w:hint="eastAsia"/>
        </w:rPr>
        <w:t>按规定采取</w:t>
      </w:r>
      <w:r w:rsidRPr="00623E3F">
        <w:t>多</w:t>
      </w:r>
      <w:r w:rsidRPr="00623E3F">
        <w:rPr>
          <w:rFonts w:hint="eastAsia"/>
        </w:rPr>
        <w:t>种方式</w:t>
      </w:r>
      <w:r w:rsidRPr="00623E3F">
        <w:t>进行</w:t>
      </w:r>
      <w:r w:rsidRPr="00623E3F">
        <w:rPr>
          <w:rFonts w:hint="eastAsia"/>
        </w:rPr>
        <w:t>查勘</w:t>
      </w:r>
      <w:r w:rsidRPr="00623E3F">
        <w:t>验收，</w:t>
      </w:r>
      <w:r w:rsidRPr="00623E3F">
        <w:rPr>
          <w:rFonts w:hint="eastAsia"/>
        </w:rPr>
        <w:t>确保参保</w:t>
      </w:r>
      <w:r w:rsidRPr="00623E3F">
        <w:t>面积的真实性</w:t>
      </w:r>
      <w:r w:rsidRPr="00623E3F">
        <w:rPr>
          <w:rFonts w:hint="eastAsia"/>
        </w:rPr>
        <w:t>。</w:t>
      </w:r>
    </w:p>
    <w:p w:rsidR="00D208D0" w:rsidRPr="00623E3F" w:rsidRDefault="00D208D0" w:rsidP="00D208D0">
      <w:pPr>
        <w:spacing w:line="578" w:lineRule="exact"/>
        <w:ind w:firstLineChars="200" w:firstLine="640"/>
      </w:pPr>
      <w:r w:rsidRPr="00623E3F">
        <w:rPr>
          <w:rFonts w:hint="eastAsia"/>
        </w:rPr>
        <w:t>（二）农户和农业经营主体可在物化成本保险、完全成本保险、收入保险中自主自愿选择投保产品，但不得重复投保。</w:t>
      </w:r>
    </w:p>
    <w:p w:rsidR="00D208D0" w:rsidRPr="00623E3F" w:rsidRDefault="00D208D0" w:rsidP="00D208D0">
      <w:pPr>
        <w:spacing w:line="578" w:lineRule="exact"/>
        <w:ind w:firstLineChars="200" w:firstLine="640"/>
        <w:rPr>
          <w:rFonts w:eastAsia="方正黑体_GBK" w:hint="eastAsia"/>
        </w:rPr>
      </w:pPr>
      <w:r w:rsidRPr="00623E3F">
        <w:rPr>
          <w:rFonts w:eastAsia="方正黑体_GBK" w:hint="eastAsia"/>
        </w:rPr>
        <w:t>四、本通知自印发之日起实施，如遇中央政策调整，从其规定。</w:t>
      </w:r>
    </w:p>
    <w:p w:rsidR="00D208D0" w:rsidRPr="00623E3F" w:rsidRDefault="00D208D0" w:rsidP="00D208D0">
      <w:pPr>
        <w:spacing w:line="578" w:lineRule="exact"/>
        <w:ind w:firstLineChars="200" w:firstLine="640"/>
      </w:pPr>
    </w:p>
    <w:p w:rsidR="00D208D0" w:rsidRPr="00623E3F" w:rsidRDefault="00D208D0" w:rsidP="00D208D0">
      <w:pPr>
        <w:spacing w:line="578" w:lineRule="exact"/>
        <w:ind w:firstLineChars="200" w:firstLine="640"/>
      </w:pPr>
    </w:p>
    <w:p w:rsidR="00D208D0" w:rsidRPr="00623E3F" w:rsidRDefault="00D208D0" w:rsidP="00D208D0">
      <w:pPr>
        <w:spacing w:line="578" w:lineRule="exact"/>
        <w:ind w:firstLineChars="200" w:firstLine="640"/>
      </w:pPr>
    </w:p>
    <w:p w:rsidR="00D208D0" w:rsidRPr="00623E3F" w:rsidRDefault="00D208D0" w:rsidP="00D208D0">
      <w:pPr>
        <w:spacing w:line="578" w:lineRule="exact"/>
        <w:jc w:val="center"/>
      </w:pPr>
      <w:r w:rsidRPr="00623E3F">
        <w:rPr>
          <w:rFonts w:hint="eastAsia"/>
        </w:rPr>
        <w:t>重庆市财政局</w:t>
      </w:r>
      <w:r w:rsidRPr="00623E3F">
        <w:t xml:space="preserve">                 </w:t>
      </w:r>
      <w:r w:rsidRPr="00623E3F">
        <w:t>重庆市农业农村委员会</w:t>
      </w:r>
    </w:p>
    <w:p w:rsidR="00D208D0" w:rsidRPr="00623E3F" w:rsidRDefault="00D208D0" w:rsidP="00D208D0">
      <w:pPr>
        <w:spacing w:line="578" w:lineRule="exact"/>
        <w:ind w:firstLineChars="200" w:firstLine="640"/>
      </w:pPr>
    </w:p>
    <w:p w:rsidR="00D208D0" w:rsidRPr="00623E3F" w:rsidRDefault="00D208D0" w:rsidP="00D208D0">
      <w:pPr>
        <w:spacing w:line="578" w:lineRule="exact"/>
        <w:ind w:firstLineChars="200" w:firstLine="640"/>
      </w:pPr>
    </w:p>
    <w:p w:rsidR="00D208D0" w:rsidRPr="00623E3F" w:rsidRDefault="00D208D0" w:rsidP="00D208D0">
      <w:pPr>
        <w:spacing w:line="578" w:lineRule="exact"/>
        <w:ind w:firstLineChars="200" w:firstLine="640"/>
      </w:pPr>
    </w:p>
    <w:p w:rsidR="00D208D0" w:rsidRPr="00623E3F" w:rsidRDefault="00D208D0" w:rsidP="00D208D0">
      <w:pPr>
        <w:spacing w:line="578" w:lineRule="exact"/>
        <w:jc w:val="center"/>
      </w:pPr>
      <w:r w:rsidRPr="00623E3F">
        <w:rPr>
          <w:rFonts w:hint="eastAsia"/>
        </w:rPr>
        <w:t>国家金融监督管理总局重庆监管局</w:t>
      </w:r>
    </w:p>
    <w:p w:rsidR="00D208D0" w:rsidRPr="00623E3F" w:rsidRDefault="00D208D0" w:rsidP="00D208D0">
      <w:pPr>
        <w:spacing w:line="578" w:lineRule="exact"/>
        <w:jc w:val="center"/>
      </w:pPr>
      <w:r w:rsidRPr="00623E3F">
        <w:rPr>
          <w:rFonts w:hint="eastAsia"/>
        </w:rPr>
        <w:t>20</w:t>
      </w:r>
      <w:r w:rsidRPr="00623E3F">
        <w:t>24</w:t>
      </w:r>
      <w:r w:rsidRPr="00623E3F">
        <w:rPr>
          <w:rFonts w:hint="eastAsia"/>
        </w:rPr>
        <w:t>年</w:t>
      </w:r>
      <w:r w:rsidRPr="00623E3F">
        <w:t>8</w:t>
      </w:r>
      <w:r w:rsidRPr="00623E3F">
        <w:rPr>
          <w:rFonts w:hint="eastAsia"/>
        </w:rPr>
        <w:t>月</w:t>
      </w:r>
      <w:r w:rsidRPr="00623E3F">
        <w:t>29</w:t>
      </w:r>
      <w:r w:rsidRPr="00623E3F">
        <w:rPr>
          <w:rFonts w:hint="eastAsia"/>
        </w:rPr>
        <w:t>日</w:t>
      </w:r>
    </w:p>
    <w:p w:rsidR="00D208D0" w:rsidRPr="00623E3F" w:rsidRDefault="00D208D0" w:rsidP="00D208D0">
      <w:pPr>
        <w:spacing w:line="578" w:lineRule="exact"/>
        <w:ind w:firstLineChars="200" w:firstLine="640"/>
      </w:pPr>
      <w:r w:rsidRPr="00623E3F">
        <w:rPr>
          <w:rFonts w:hint="eastAsia"/>
        </w:rPr>
        <w:t>（此件主动公开</w:t>
      </w:r>
      <w:r w:rsidRPr="00623E3F">
        <w:t>）</w:t>
      </w:r>
    </w:p>
    <w:p w:rsidR="0026289F" w:rsidRPr="00D208D0" w:rsidRDefault="0026289F" w:rsidP="00806E10">
      <w:pPr>
        <w:spacing w:line="578" w:lineRule="exact"/>
        <w:ind w:firstLineChars="200" w:firstLine="640"/>
      </w:pPr>
    </w:p>
    <w:sectPr w:rsidR="0026289F" w:rsidRPr="00D208D0"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74B" w:rsidRDefault="002B374B">
      <w:pPr>
        <w:spacing w:line="240" w:lineRule="auto"/>
      </w:pPr>
      <w:r>
        <w:separator/>
      </w:r>
    </w:p>
  </w:endnote>
  <w:endnote w:type="continuationSeparator" w:id="0">
    <w:p w:rsidR="002B374B" w:rsidRDefault="002B3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embedRegular r:id="rId1" w:subsetted="1" w:fontKey="{C4398E00-0359-4E96-AB45-73B8C653A464}"/>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8AEFBD4B-0CEF-4AEF-AF06-BE1BC30E6D97}"/>
  </w:font>
  <w:font w:name="方正黑体_GBK">
    <w:panose1 w:val="03000509000000000000"/>
    <w:charset w:val="86"/>
    <w:family w:val="script"/>
    <w:pitch w:val="fixed"/>
    <w:sig w:usb0="00000001" w:usb1="080E0000" w:usb2="00000010" w:usb3="00000000" w:csb0="00040000" w:csb1="00000000"/>
    <w:embedRegular r:id="rId3" w:subsetted="1" w:fontKey="{7911B4E8-F5ED-4FAF-B156-489F14FA5504}"/>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208D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208D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64A1F99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74B" w:rsidRDefault="002B374B">
      <w:pPr>
        <w:spacing w:line="240" w:lineRule="auto"/>
      </w:pPr>
      <w:r>
        <w:separator/>
      </w:r>
    </w:p>
  </w:footnote>
  <w:footnote w:type="continuationSeparator" w:id="0">
    <w:p w:rsidR="002B374B" w:rsidRDefault="002B37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4CFC9B3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3674D"/>
    <w:rsid w:val="0009287B"/>
    <w:rsid w:val="000D7641"/>
    <w:rsid w:val="000F5AA2"/>
    <w:rsid w:val="00114A8B"/>
    <w:rsid w:val="00141424"/>
    <w:rsid w:val="00172A27"/>
    <w:rsid w:val="001B3E84"/>
    <w:rsid w:val="001C1A28"/>
    <w:rsid w:val="001D0F2C"/>
    <w:rsid w:val="0023614A"/>
    <w:rsid w:val="00242A33"/>
    <w:rsid w:val="002579B0"/>
    <w:rsid w:val="0026289F"/>
    <w:rsid w:val="002A1BC1"/>
    <w:rsid w:val="002B374B"/>
    <w:rsid w:val="00353CEE"/>
    <w:rsid w:val="003665F7"/>
    <w:rsid w:val="00385ABA"/>
    <w:rsid w:val="00387E1A"/>
    <w:rsid w:val="003A1EA6"/>
    <w:rsid w:val="003C64BA"/>
    <w:rsid w:val="003D5805"/>
    <w:rsid w:val="003E4E1E"/>
    <w:rsid w:val="00401776"/>
    <w:rsid w:val="00406B88"/>
    <w:rsid w:val="00422805"/>
    <w:rsid w:val="004B0734"/>
    <w:rsid w:val="004D6EEB"/>
    <w:rsid w:val="005020D4"/>
    <w:rsid w:val="005356E8"/>
    <w:rsid w:val="00541D5D"/>
    <w:rsid w:val="00557CFF"/>
    <w:rsid w:val="00584A0E"/>
    <w:rsid w:val="00652E2B"/>
    <w:rsid w:val="00684D4D"/>
    <w:rsid w:val="006A2403"/>
    <w:rsid w:val="00701060"/>
    <w:rsid w:val="0073391F"/>
    <w:rsid w:val="0074297B"/>
    <w:rsid w:val="007A23C2"/>
    <w:rsid w:val="00806E10"/>
    <w:rsid w:val="00811547"/>
    <w:rsid w:val="008E67A8"/>
    <w:rsid w:val="00905EBE"/>
    <w:rsid w:val="00913161"/>
    <w:rsid w:val="00963B3A"/>
    <w:rsid w:val="00987373"/>
    <w:rsid w:val="009B4FAE"/>
    <w:rsid w:val="00A51518"/>
    <w:rsid w:val="00A655D8"/>
    <w:rsid w:val="00A71FE5"/>
    <w:rsid w:val="00AB048A"/>
    <w:rsid w:val="00AD60A3"/>
    <w:rsid w:val="00AE31D2"/>
    <w:rsid w:val="00AF02D3"/>
    <w:rsid w:val="00B079B8"/>
    <w:rsid w:val="00BC3D0B"/>
    <w:rsid w:val="00BC7EFA"/>
    <w:rsid w:val="00C60093"/>
    <w:rsid w:val="00C772EF"/>
    <w:rsid w:val="00C822DE"/>
    <w:rsid w:val="00C90130"/>
    <w:rsid w:val="00CD6191"/>
    <w:rsid w:val="00D208D0"/>
    <w:rsid w:val="00D57324"/>
    <w:rsid w:val="00D854EB"/>
    <w:rsid w:val="00E92B2C"/>
    <w:rsid w:val="00EB10EE"/>
    <w:rsid w:val="00EE56B3"/>
    <w:rsid w:val="00F45361"/>
    <w:rsid w:val="00FE585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E47621-03D6-40F4-9A10-703AECAA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208D0"/>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character" w:customStyle="1" w:styleId="Char">
    <w:name w:val="页脚 Char"/>
    <w:link w:val="a6"/>
    <w:uiPriority w:val="99"/>
    <w:rsid w:val="00541D5D"/>
    <w:rPr>
      <w:rFonts w:eastAsia="方正仿宋_GBK"/>
      <w:sz w:val="18"/>
      <w:szCs w:val="32"/>
    </w:rPr>
  </w:style>
  <w:style w:type="character" w:styleId="ab">
    <w:name w:val="Hyperlink"/>
    <w:rsid w:val="004D6E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昌旭</cp:lastModifiedBy>
  <cp:revision>2</cp:revision>
  <cp:lastPrinted>2022-05-12T00:46:00Z</cp:lastPrinted>
  <dcterms:created xsi:type="dcterms:W3CDTF">2024-10-15T12:13:00Z</dcterms:created>
  <dcterms:modified xsi:type="dcterms:W3CDTF">2024-10-15T12:13:00Z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